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40270" w14:textId="3D8B7587" w:rsidR="00E203C2" w:rsidRDefault="00E203C2" w:rsidP="00E203C2">
      <w:r>
        <w:rPr>
          <w:noProof/>
          <w:lang w:eastAsia="en-GB" w:bidi="ar-SA"/>
        </w:rPr>
        <w:drawing>
          <wp:inline distT="0" distB="0" distL="0" distR="0" wp14:anchorId="6E0DABE4" wp14:editId="2A288B7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E4E5124" w14:textId="77777777" w:rsidR="00E203C2" w:rsidRDefault="00E203C2" w:rsidP="00E203C2"/>
    <w:p w14:paraId="6D8B8C5F" w14:textId="4C5C9E58" w:rsidR="00BA24E2" w:rsidRPr="00E56351" w:rsidRDefault="00E56351" w:rsidP="00BA24E2">
      <w:pPr>
        <w:rPr>
          <w:b/>
          <w:sz w:val="28"/>
          <w:szCs w:val="28"/>
        </w:rPr>
      </w:pPr>
      <w:r w:rsidRPr="00E56351">
        <w:rPr>
          <w:b/>
          <w:sz w:val="28"/>
          <w:szCs w:val="28"/>
        </w:rPr>
        <w:t xml:space="preserve">6 August </w:t>
      </w:r>
      <w:r w:rsidR="00D8471A" w:rsidRPr="00E56351">
        <w:rPr>
          <w:b/>
          <w:sz w:val="28"/>
          <w:szCs w:val="28"/>
        </w:rPr>
        <w:t>20</w:t>
      </w:r>
      <w:r w:rsidRPr="00E56351">
        <w:rPr>
          <w:b/>
          <w:sz w:val="28"/>
          <w:szCs w:val="28"/>
        </w:rPr>
        <w:t>20</w:t>
      </w:r>
    </w:p>
    <w:p w14:paraId="1D94FE7E" w14:textId="1B633571" w:rsidR="00BA24E2" w:rsidRPr="00E56351" w:rsidRDefault="00BA24E2" w:rsidP="00BA24E2">
      <w:pPr>
        <w:rPr>
          <w:b/>
          <w:sz w:val="28"/>
          <w:szCs w:val="28"/>
        </w:rPr>
      </w:pPr>
      <w:r w:rsidRPr="00E56351">
        <w:rPr>
          <w:b/>
          <w:sz w:val="28"/>
          <w:szCs w:val="28"/>
        </w:rPr>
        <w:t>[</w:t>
      </w:r>
      <w:r w:rsidR="00E56351" w:rsidRPr="00E56351">
        <w:rPr>
          <w:b/>
          <w:sz w:val="28"/>
          <w:szCs w:val="28"/>
        </w:rPr>
        <w:t>131</w:t>
      </w:r>
      <w:r w:rsidR="00CA7F35" w:rsidRPr="00E56351">
        <w:rPr>
          <w:b/>
          <w:sz w:val="28"/>
          <w:szCs w:val="28"/>
        </w:rPr>
        <w:t>–</w:t>
      </w:r>
      <w:r w:rsidR="00E56351" w:rsidRPr="00E56351">
        <w:rPr>
          <w:b/>
          <w:sz w:val="28"/>
          <w:szCs w:val="28"/>
        </w:rPr>
        <w:t>20</w:t>
      </w:r>
      <w:r w:rsidRPr="00E56351">
        <w:rPr>
          <w:b/>
          <w:sz w:val="28"/>
          <w:szCs w:val="28"/>
        </w:rPr>
        <w:t>]</w:t>
      </w:r>
    </w:p>
    <w:p w14:paraId="77F3E37D" w14:textId="77777777" w:rsidR="00BA24E2" w:rsidRDefault="00BA24E2" w:rsidP="00E203C2"/>
    <w:p w14:paraId="626B29B2" w14:textId="1F8361F3" w:rsidR="00D056F1" w:rsidRPr="00FF62FC" w:rsidRDefault="00C54C82" w:rsidP="002432EE">
      <w:pPr>
        <w:pStyle w:val="FSTitle"/>
        <w:rPr>
          <w:b/>
        </w:rPr>
      </w:pPr>
      <w:r w:rsidRPr="00FF62FC">
        <w:rPr>
          <w:b/>
        </w:rPr>
        <w:t>2</w:t>
      </w:r>
      <w:r w:rsidRPr="00FF62FC">
        <w:rPr>
          <w:b/>
          <w:vertAlign w:val="superscript"/>
        </w:rPr>
        <w:t>nd</w:t>
      </w:r>
      <w:r w:rsidRPr="00FF62FC">
        <w:rPr>
          <w:b/>
        </w:rPr>
        <w:t xml:space="preserve"> </w:t>
      </w:r>
      <w:r w:rsidR="000427B2" w:rsidRPr="00FF62FC">
        <w:rPr>
          <w:b/>
        </w:rPr>
        <w:t>C</w:t>
      </w:r>
      <w:r w:rsidR="00D8470F" w:rsidRPr="00FF62FC">
        <w:rPr>
          <w:b/>
        </w:rPr>
        <w:t>all</w:t>
      </w:r>
      <w:r w:rsidR="000427B2" w:rsidRPr="00FF62FC">
        <w:rPr>
          <w:b/>
        </w:rPr>
        <w:t xml:space="preserve"> </w:t>
      </w:r>
      <w:r w:rsidR="00D8470F" w:rsidRPr="00FF62FC">
        <w:rPr>
          <w:b/>
        </w:rPr>
        <w:t>for</w:t>
      </w:r>
      <w:r w:rsidR="000427B2" w:rsidRPr="00FF62FC">
        <w:rPr>
          <w:b/>
        </w:rPr>
        <w:t xml:space="preserve"> </w:t>
      </w:r>
      <w:r w:rsidR="00D8470F" w:rsidRPr="00FF62FC">
        <w:rPr>
          <w:b/>
        </w:rPr>
        <w:t>submissions</w:t>
      </w:r>
      <w:r w:rsidR="000427B2" w:rsidRPr="00FF62FC">
        <w:rPr>
          <w:b/>
        </w:rPr>
        <w:t xml:space="preserve"> – </w:t>
      </w:r>
      <w:r w:rsidR="00D056F1" w:rsidRPr="00FF62FC">
        <w:rPr>
          <w:b/>
        </w:rPr>
        <w:t>A</w:t>
      </w:r>
      <w:r w:rsidR="00A91DF1" w:rsidRPr="00FF62FC">
        <w:rPr>
          <w:b/>
        </w:rPr>
        <w:t>pplication</w:t>
      </w:r>
      <w:r w:rsidR="00D056F1" w:rsidRPr="00FF62FC">
        <w:rPr>
          <w:b/>
        </w:rPr>
        <w:t xml:space="preserve"> A</w:t>
      </w:r>
      <w:r w:rsidRPr="00FF62FC">
        <w:rPr>
          <w:b/>
        </w:rPr>
        <w:t>1186</w:t>
      </w:r>
    </w:p>
    <w:p w14:paraId="442B7219" w14:textId="77777777" w:rsidR="00E203C2" w:rsidRPr="00FF62FC" w:rsidRDefault="00E203C2" w:rsidP="00E203C2"/>
    <w:p w14:paraId="51C4FA27" w14:textId="08CE7D6C" w:rsidR="00D056F1" w:rsidRPr="00FF62FC" w:rsidRDefault="00C54C82" w:rsidP="002432EE">
      <w:pPr>
        <w:pStyle w:val="FSTitle"/>
      </w:pPr>
      <w:r w:rsidRPr="00FF62FC">
        <w:t xml:space="preserve">Soy </w:t>
      </w:r>
      <w:r w:rsidR="004962B4">
        <w:t>l</w:t>
      </w:r>
      <w:r w:rsidR="004962B4" w:rsidRPr="00FF62FC">
        <w:t xml:space="preserve">eghemoglobin </w:t>
      </w:r>
      <w:r w:rsidRPr="00FF62FC">
        <w:t xml:space="preserve">in </w:t>
      </w:r>
      <w:r w:rsidR="004962B4">
        <w:t>m</w:t>
      </w:r>
      <w:r w:rsidR="004962B4" w:rsidRPr="00FF62FC">
        <w:t xml:space="preserve">eat </w:t>
      </w:r>
      <w:r w:rsidR="004962B4">
        <w:t>a</w:t>
      </w:r>
      <w:r w:rsidR="004962B4" w:rsidRPr="00FF62FC">
        <w:t xml:space="preserve">nalogue </w:t>
      </w:r>
      <w:r w:rsidR="004962B4">
        <w:t>p</w:t>
      </w:r>
      <w:r w:rsidR="004962B4" w:rsidRPr="00FF62FC">
        <w:t>roducts</w:t>
      </w:r>
    </w:p>
    <w:p w14:paraId="0CBD988A" w14:textId="77777777" w:rsidR="00E203C2" w:rsidRPr="00E81F6E" w:rsidRDefault="00E203C2" w:rsidP="00E203C2">
      <w:pPr>
        <w:pBdr>
          <w:bottom w:val="single" w:sz="12" w:space="1" w:color="auto"/>
        </w:pBdr>
        <w:spacing w:line="280" w:lineRule="exact"/>
        <w:rPr>
          <w:rFonts w:cs="Arial"/>
          <w:bCs/>
        </w:rPr>
      </w:pPr>
    </w:p>
    <w:p w14:paraId="0AFFB481" w14:textId="56389984" w:rsidR="00BA24E2" w:rsidRDefault="00BA24E2" w:rsidP="00BA24E2">
      <w:pPr>
        <w:rPr>
          <w:color w:val="FF0000"/>
          <w:sz w:val="20"/>
          <w:szCs w:val="20"/>
        </w:rPr>
      </w:pPr>
    </w:p>
    <w:p w14:paraId="0EBC6E4A" w14:textId="0B0DC6FC" w:rsidR="00BA24E2" w:rsidRPr="00413CA8" w:rsidRDefault="00FF62FC" w:rsidP="00BA24E2">
      <w:pPr>
        <w:rPr>
          <w:color w:val="FF0000"/>
          <w:sz w:val="20"/>
          <w:szCs w:val="20"/>
        </w:rPr>
      </w:pPr>
      <w:r w:rsidRPr="00B57142">
        <w:rPr>
          <w:sz w:val="20"/>
          <w:szCs w:val="20"/>
        </w:rPr>
        <w:t xml:space="preserve">Pursuant to section 31 of the </w:t>
      </w:r>
      <w:r w:rsidRPr="00B57142">
        <w:rPr>
          <w:i/>
          <w:sz w:val="20"/>
          <w:szCs w:val="20"/>
        </w:rPr>
        <w:t xml:space="preserve">Food Standards Australia New Zealand Act 1991 </w:t>
      </w:r>
      <w:r w:rsidRPr="00B57142">
        <w:rPr>
          <w:sz w:val="20"/>
          <w:szCs w:val="20"/>
        </w:rPr>
        <w:t xml:space="preserve">(FSANZ Act), FSANZ now calls for submissions to assist FSANZ’s consideration of the draft food regulatory measure it has prepared arising from an application made by </w:t>
      </w:r>
      <w:r w:rsidR="00C54C82" w:rsidRPr="009E0D64">
        <w:rPr>
          <w:sz w:val="20"/>
          <w:szCs w:val="20"/>
        </w:rPr>
        <w:t xml:space="preserve">Impossible Foods Inc. </w:t>
      </w:r>
      <w:r>
        <w:rPr>
          <w:sz w:val="20"/>
          <w:szCs w:val="20"/>
        </w:rPr>
        <w:t>for the voluntary addition of soy leghemoglobin, produced by microbial fermentation, in meat analogue products</w:t>
      </w:r>
      <w:r w:rsidR="00BA24E2" w:rsidRPr="009E0D64">
        <w:rPr>
          <w:sz w:val="20"/>
          <w:szCs w:val="20"/>
        </w:rPr>
        <w:t>.</w:t>
      </w:r>
    </w:p>
    <w:p w14:paraId="6DDFD3EA" w14:textId="77777777" w:rsidR="00413CA8" w:rsidRPr="007C174F" w:rsidRDefault="00413CA8" w:rsidP="00E203C2">
      <w:pPr>
        <w:rPr>
          <w:sz w:val="20"/>
          <w:szCs w:val="20"/>
        </w:rPr>
      </w:pPr>
    </w:p>
    <w:p w14:paraId="3ED19957" w14:textId="007D3AF5"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w:t>
      </w:r>
      <w:r w:rsidR="00E80850">
        <w:rPr>
          <w:sz w:val="20"/>
          <w:szCs w:val="20"/>
        </w:rPr>
        <w:t xml:space="preserve"> see the</w:t>
      </w:r>
      <w:r>
        <w:rPr>
          <w:sz w:val="20"/>
          <w:szCs w:val="20"/>
        </w:rPr>
        <w:t xml:space="preserve"> </w:t>
      </w:r>
      <w:hyperlink r:id="rId15" w:history="1">
        <w:r w:rsidR="00C56F71">
          <w:rPr>
            <w:rStyle w:val="Hyperlink"/>
            <w:sz w:val="20"/>
            <w:szCs w:val="20"/>
            <w:lang w:val="en-AU"/>
          </w:rPr>
          <w:t>information for submitters</w:t>
        </w:r>
      </w:hyperlink>
      <w:r w:rsidR="00E80850">
        <w:rPr>
          <w:sz w:val="20"/>
          <w:szCs w:val="20"/>
        </w:rPr>
        <w:t xml:space="preserve"> on our website.</w:t>
      </w:r>
    </w:p>
    <w:p w14:paraId="09F476A6" w14:textId="77777777" w:rsidR="00D81D38" w:rsidRPr="00276026" w:rsidRDefault="00D81D38" w:rsidP="00276026">
      <w:pPr>
        <w:rPr>
          <w:sz w:val="20"/>
          <w:szCs w:val="20"/>
        </w:rPr>
      </w:pPr>
    </w:p>
    <w:p w14:paraId="02788232"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64275B01" w14:textId="77777777" w:rsidR="00876515" w:rsidRPr="00276026" w:rsidRDefault="00876515" w:rsidP="00276026">
      <w:pPr>
        <w:rPr>
          <w:color w:val="000000"/>
          <w:sz w:val="20"/>
          <w:szCs w:val="20"/>
          <w:lang w:val="en-AU"/>
        </w:rPr>
      </w:pPr>
    </w:p>
    <w:p w14:paraId="54DB20F6"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758C67EA" w14:textId="77777777" w:rsidR="00E203C2" w:rsidRPr="007C174F" w:rsidRDefault="00E203C2" w:rsidP="00E203C2">
      <w:pPr>
        <w:rPr>
          <w:color w:val="000000"/>
          <w:sz w:val="20"/>
          <w:szCs w:val="20"/>
          <w:lang w:val="en-AU"/>
        </w:rPr>
      </w:pPr>
    </w:p>
    <w:p w14:paraId="267B6117"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6648642E" w14:textId="77777777" w:rsidR="00E203C2" w:rsidRPr="007C174F" w:rsidRDefault="00E203C2" w:rsidP="00E203C2">
      <w:pPr>
        <w:rPr>
          <w:color w:val="000000"/>
          <w:sz w:val="20"/>
          <w:szCs w:val="20"/>
          <w:lang w:val="en-AU"/>
        </w:rPr>
      </w:pPr>
    </w:p>
    <w:p w14:paraId="023814BA"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3C7FD925" w14:textId="77777777" w:rsidR="00E203C2" w:rsidRPr="00D676CF" w:rsidRDefault="00E203C2" w:rsidP="00E203C2">
      <w:pPr>
        <w:rPr>
          <w:color w:val="000000"/>
          <w:sz w:val="20"/>
          <w:lang w:val="en-AU"/>
        </w:rPr>
      </w:pPr>
    </w:p>
    <w:p w14:paraId="0FBA356A" w14:textId="33D64150"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913521">
        <w:rPr>
          <w:rFonts w:cs="Arial"/>
          <w:b/>
          <w:bCs/>
          <w:sz w:val="24"/>
        </w:rPr>
        <w:t xml:space="preserve">) </w:t>
      </w:r>
      <w:r w:rsidR="00913521" w:rsidRPr="00913521">
        <w:rPr>
          <w:rFonts w:cs="Arial"/>
          <w:b/>
          <w:bCs/>
          <w:sz w:val="24"/>
        </w:rPr>
        <w:t>17</w:t>
      </w:r>
      <w:r w:rsidRPr="00913521">
        <w:rPr>
          <w:rFonts w:cs="Arial"/>
          <w:b/>
          <w:bCs/>
          <w:sz w:val="24"/>
        </w:rPr>
        <w:t xml:space="preserve"> </w:t>
      </w:r>
      <w:r w:rsidR="00913521" w:rsidRPr="00913521">
        <w:rPr>
          <w:rFonts w:cs="Arial"/>
          <w:b/>
          <w:bCs/>
          <w:sz w:val="24"/>
        </w:rPr>
        <w:t>September</w:t>
      </w:r>
      <w:r w:rsidRPr="00913521">
        <w:rPr>
          <w:rFonts w:cs="Arial"/>
          <w:b/>
          <w:bCs/>
          <w:sz w:val="24"/>
        </w:rPr>
        <w:t xml:space="preserve"> </w:t>
      </w:r>
      <w:r w:rsidR="00913521" w:rsidRPr="00913521">
        <w:rPr>
          <w:rFonts w:cs="Arial"/>
          <w:b/>
          <w:bCs/>
          <w:sz w:val="24"/>
        </w:rPr>
        <w:t>2020</w:t>
      </w:r>
    </w:p>
    <w:p w14:paraId="759FED3C" w14:textId="77777777" w:rsidR="00E203C2" w:rsidRPr="007C174F" w:rsidRDefault="00E203C2" w:rsidP="00E203C2">
      <w:pPr>
        <w:rPr>
          <w:sz w:val="20"/>
          <w:szCs w:val="20"/>
          <w:lang w:val="en-AU"/>
        </w:rPr>
      </w:pPr>
    </w:p>
    <w:p w14:paraId="57813A9D" w14:textId="35C8B23F" w:rsidR="00E063C6" w:rsidRPr="007C174F" w:rsidRDefault="00E063C6" w:rsidP="00E203C2">
      <w:pPr>
        <w:rPr>
          <w:bCs/>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r w:rsidR="00AF0F31">
        <w:rPr>
          <w:sz w:val="20"/>
          <w:szCs w:val="20"/>
          <w:lang w:val="en-AU"/>
        </w:rPr>
        <w:t xml:space="preserve"> </w:t>
      </w:r>
      <w:r w:rsidR="0037520F">
        <w:rPr>
          <w:sz w:val="20"/>
          <w:szCs w:val="20"/>
          <w:lang w:val="en-AU"/>
        </w:rPr>
        <w:t>Questions about</w:t>
      </w:r>
      <w:r w:rsidRPr="007C174F">
        <w:rPr>
          <w:sz w:val="20"/>
          <w:szCs w:val="20"/>
          <w:lang w:val="en-AU"/>
        </w:rPr>
        <w:t xml:space="preserve"> making submissions or the application process can be </w:t>
      </w:r>
      <w:r w:rsidR="0037520F">
        <w:rPr>
          <w:sz w:val="20"/>
          <w:szCs w:val="20"/>
          <w:lang w:val="en-AU"/>
        </w:rPr>
        <w:t>sent to</w:t>
      </w:r>
      <w:r w:rsidRPr="007C174F">
        <w:rPr>
          <w:sz w:val="20"/>
          <w:szCs w:val="20"/>
          <w:lang w:val="en-AU"/>
        </w:rPr>
        <w:t xml:space="preserve"> </w:t>
      </w:r>
      <w:hyperlink r:id="rId19" w:history="1">
        <w:r w:rsidRPr="007C174F">
          <w:rPr>
            <w:rStyle w:val="Hyperlink"/>
            <w:rFonts w:cs="Arial"/>
            <w:sz w:val="20"/>
            <w:szCs w:val="20"/>
            <w:lang w:val="en-AU"/>
          </w:rPr>
          <w:t>standards.management@foodstandards.gov.au</w:t>
        </w:r>
      </w:hyperlink>
      <w:r w:rsidRPr="007C174F">
        <w:rPr>
          <w:sz w:val="20"/>
          <w:szCs w:val="20"/>
          <w:lang w:val="en-AU"/>
        </w:rPr>
        <w:t xml:space="preserve">. </w:t>
      </w:r>
    </w:p>
    <w:p w14:paraId="13B27D11" w14:textId="77777777" w:rsidR="00E203C2" w:rsidRPr="003A7725" w:rsidRDefault="00E203C2" w:rsidP="003A7725">
      <w:pPr>
        <w:rPr>
          <w:sz w:val="20"/>
          <w:lang w:val="en-AU"/>
        </w:rPr>
      </w:pPr>
    </w:p>
    <w:p w14:paraId="4174BB75"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36485FE1" w14:textId="77777777" w:rsidR="00E203C2" w:rsidRPr="007C174F" w:rsidRDefault="00E203C2" w:rsidP="00E203C2">
      <w:pPr>
        <w:rPr>
          <w:sz w:val="20"/>
          <w:szCs w:val="20"/>
          <w:lang w:val="en-AU"/>
        </w:rPr>
      </w:pPr>
    </w:p>
    <w:p w14:paraId="1193158E"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52AEA1C1"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8059A9"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26FC5521"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395A9753"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4DA0CB5" w14:textId="4913002A" w:rsidR="00413CA8" w:rsidRDefault="00413CA8" w:rsidP="00CA380A">
      <w:pPr>
        <w:spacing w:line="280" w:lineRule="exact"/>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651340DF" w14:textId="3D5DCC46" w:rsidR="00562917" w:rsidRPr="00281C7E" w:rsidRDefault="00562917" w:rsidP="00281C7E">
      <w:pPr>
        <w:jc w:val="center"/>
        <w:rPr>
          <w:sz w:val="28"/>
          <w:szCs w:val="28"/>
        </w:rPr>
      </w:pPr>
      <w:r w:rsidRPr="00646FDD">
        <w:rPr>
          <w:sz w:val="28"/>
          <w:szCs w:val="28"/>
        </w:rPr>
        <w:lastRenderedPageBreak/>
        <w:t xml:space="preserve">Table of </w:t>
      </w:r>
      <w:r w:rsidR="000C412C">
        <w:rPr>
          <w:sz w:val="28"/>
          <w:szCs w:val="28"/>
        </w:rPr>
        <w:t>c</w:t>
      </w:r>
      <w:r w:rsidR="00281C7E">
        <w:rPr>
          <w:sz w:val="28"/>
          <w:szCs w:val="28"/>
        </w:rPr>
        <w:t>ontents</w:t>
      </w:r>
    </w:p>
    <w:p w14:paraId="17AAB376" w14:textId="28DDB70D" w:rsidR="00A2389F"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3128109" w:history="1">
        <w:r w:rsidR="00A2389F" w:rsidRPr="002779F3">
          <w:rPr>
            <w:rStyle w:val="Hyperlink"/>
            <w:noProof/>
          </w:rPr>
          <w:t>Executive summary</w:t>
        </w:r>
        <w:r w:rsidR="00A2389F">
          <w:rPr>
            <w:noProof/>
            <w:webHidden/>
          </w:rPr>
          <w:tab/>
        </w:r>
        <w:r w:rsidR="00A2389F">
          <w:rPr>
            <w:noProof/>
            <w:webHidden/>
          </w:rPr>
          <w:fldChar w:fldCharType="begin"/>
        </w:r>
        <w:r w:rsidR="00A2389F">
          <w:rPr>
            <w:noProof/>
            <w:webHidden/>
          </w:rPr>
          <w:instrText xml:space="preserve"> PAGEREF _Toc43128109 \h </w:instrText>
        </w:r>
        <w:r w:rsidR="00A2389F">
          <w:rPr>
            <w:noProof/>
            <w:webHidden/>
          </w:rPr>
        </w:r>
        <w:r w:rsidR="00A2389F">
          <w:rPr>
            <w:noProof/>
            <w:webHidden/>
          </w:rPr>
          <w:fldChar w:fldCharType="separate"/>
        </w:r>
        <w:r w:rsidR="00A2389F">
          <w:rPr>
            <w:noProof/>
            <w:webHidden/>
          </w:rPr>
          <w:t>3</w:t>
        </w:r>
        <w:r w:rsidR="00A2389F">
          <w:rPr>
            <w:noProof/>
            <w:webHidden/>
          </w:rPr>
          <w:fldChar w:fldCharType="end"/>
        </w:r>
      </w:hyperlink>
    </w:p>
    <w:p w14:paraId="0AB38299" w14:textId="68A5F728" w:rsidR="00A2389F" w:rsidRDefault="0058654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128110" w:history="1">
        <w:r w:rsidR="00A2389F" w:rsidRPr="002779F3">
          <w:rPr>
            <w:rStyle w:val="Hyperlink"/>
            <w:noProof/>
          </w:rPr>
          <w:t>1</w:t>
        </w:r>
        <w:r w:rsidR="00A2389F">
          <w:rPr>
            <w:rFonts w:eastAsiaTheme="minorEastAsia" w:cstheme="minorBidi"/>
            <w:b w:val="0"/>
            <w:bCs w:val="0"/>
            <w:caps w:val="0"/>
            <w:noProof/>
            <w:sz w:val="22"/>
            <w:szCs w:val="22"/>
            <w:lang w:eastAsia="en-GB" w:bidi="ar-SA"/>
          </w:rPr>
          <w:tab/>
        </w:r>
        <w:r w:rsidR="00A2389F" w:rsidRPr="002779F3">
          <w:rPr>
            <w:rStyle w:val="Hyperlink"/>
            <w:noProof/>
          </w:rPr>
          <w:t>Introduction</w:t>
        </w:r>
        <w:r w:rsidR="00A2389F">
          <w:rPr>
            <w:noProof/>
            <w:webHidden/>
          </w:rPr>
          <w:tab/>
        </w:r>
        <w:r w:rsidR="00A2389F">
          <w:rPr>
            <w:noProof/>
            <w:webHidden/>
          </w:rPr>
          <w:fldChar w:fldCharType="begin"/>
        </w:r>
        <w:r w:rsidR="00A2389F">
          <w:rPr>
            <w:noProof/>
            <w:webHidden/>
          </w:rPr>
          <w:instrText xml:space="preserve"> PAGEREF _Toc43128110 \h </w:instrText>
        </w:r>
        <w:r w:rsidR="00A2389F">
          <w:rPr>
            <w:noProof/>
            <w:webHidden/>
          </w:rPr>
        </w:r>
        <w:r w:rsidR="00A2389F">
          <w:rPr>
            <w:noProof/>
            <w:webHidden/>
          </w:rPr>
          <w:fldChar w:fldCharType="separate"/>
        </w:r>
        <w:r w:rsidR="00A2389F">
          <w:rPr>
            <w:noProof/>
            <w:webHidden/>
          </w:rPr>
          <w:t>6</w:t>
        </w:r>
        <w:r w:rsidR="00A2389F">
          <w:rPr>
            <w:noProof/>
            <w:webHidden/>
          </w:rPr>
          <w:fldChar w:fldCharType="end"/>
        </w:r>
      </w:hyperlink>
    </w:p>
    <w:p w14:paraId="23A5DB0F" w14:textId="1561327D" w:rsidR="00A2389F" w:rsidRDefault="0058654C">
      <w:pPr>
        <w:pStyle w:val="TOC2"/>
        <w:tabs>
          <w:tab w:val="left" w:pos="880"/>
          <w:tab w:val="right" w:leader="dot" w:pos="9060"/>
        </w:tabs>
        <w:rPr>
          <w:rFonts w:eastAsiaTheme="minorEastAsia" w:cstheme="minorBidi"/>
          <w:smallCaps w:val="0"/>
          <w:noProof/>
          <w:sz w:val="22"/>
          <w:szCs w:val="22"/>
          <w:lang w:eastAsia="en-GB" w:bidi="ar-SA"/>
        </w:rPr>
      </w:pPr>
      <w:hyperlink w:anchor="_Toc43128111" w:history="1">
        <w:r w:rsidR="00A2389F" w:rsidRPr="002779F3">
          <w:rPr>
            <w:rStyle w:val="Hyperlink"/>
            <w:noProof/>
          </w:rPr>
          <w:t>1.1</w:t>
        </w:r>
        <w:r w:rsidR="00A2389F">
          <w:rPr>
            <w:rFonts w:eastAsiaTheme="minorEastAsia" w:cstheme="minorBidi"/>
            <w:smallCaps w:val="0"/>
            <w:noProof/>
            <w:sz w:val="22"/>
            <w:szCs w:val="22"/>
            <w:lang w:eastAsia="en-GB" w:bidi="ar-SA"/>
          </w:rPr>
          <w:tab/>
        </w:r>
        <w:r w:rsidR="00A2389F" w:rsidRPr="002779F3">
          <w:rPr>
            <w:rStyle w:val="Hyperlink"/>
            <w:noProof/>
          </w:rPr>
          <w:t>The Applicant</w:t>
        </w:r>
        <w:r w:rsidR="00A2389F">
          <w:rPr>
            <w:noProof/>
            <w:webHidden/>
          </w:rPr>
          <w:tab/>
        </w:r>
        <w:r w:rsidR="00A2389F">
          <w:rPr>
            <w:noProof/>
            <w:webHidden/>
          </w:rPr>
          <w:fldChar w:fldCharType="begin"/>
        </w:r>
        <w:r w:rsidR="00A2389F">
          <w:rPr>
            <w:noProof/>
            <w:webHidden/>
          </w:rPr>
          <w:instrText xml:space="preserve"> PAGEREF _Toc43128111 \h </w:instrText>
        </w:r>
        <w:r w:rsidR="00A2389F">
          <w:rPr>
            <w:noProof/>
            <w:webHidden/>
          </w:rPr>
        </w:r>
        <w:r w:rsidR="00A2389F">
          <w:rPr>
            <w:noProof/>
            <w:webHidden/>
          </w:rPr>
          <w:fldChar w:fldCharType="separate"/>
        </w:r>
        <w:r w:rsidR="00A2389F">
          <w:rPr>
            <w:noProof/>
            <w:webHidden/>
          </w:rPr>
          <w:t>6</w:t>
        </w:r>
        <w:r w:rsidR="00A2389F">
          <w:rPr>
            <w:noProof/>
            <w:webHidden/>
          </w:rPr>
          <w:fldChar w:fldCharType="end"/>
        </w:r>
      </w:hyperlink>
    </w:p>
    <w:p w14:paraId="2CD1A01F" w14:textId="20AC06DA" w:rsidR="00A2389F" w:rsidRDefault="0058654C">
      <w:pPr>
        <w:pStyle w:val="TOC2"/>
        <w:tabs>
          <w:tab w:val="left" w:pos="880"/>
          <w:tab w:val="right" w:leader="dot" w:pos="9060"/>
        </w:tabs>
        <w:rPr>
          <w:rFonts w:eastAsiaTheme="minorEastAsia" w:cstheme="minorBidi"/>
          <w:smallCaps w:val="0"/>
          <w:noProof/>
          <w:sz w:val="22"/>
          <w:szCs w:val="22"/>
          <w:lang w:eastAsia="en-GB" w:bidi="ar-SA"/>
        </w:rPr>
      </w:pPr>
      <w:hyperlink w:anchor="_Toc43128112" w:history="1">
        <w:r w:rsidR="00A2389F" w:rsidRPr="002779F3">
          <w:rPr>
            <w:rStyle w:val="Hyperlink"/>
            <w:noProof/>
          </w:rPr>
          <w:t>1.2</w:t>
        </w:r>
        <w:r w:rsidR="00A2389F">
          <w:rPr>
            <w:rFonts w:eastAsiaTheme="minorEastAsia" w:cstheme="minorBidi"/>
            <w:smallCaps w:val="0"/>
            <w:noProof/>
            <w:sz w:val="22"/>
            <w:szCs w:val="22"/>
            <w:lang w:eastAsia="en-GB" w:bidi="ar-SA"/>
          </w:rPr>
          <w:tab/>
        </w:r>
        <w:r w:rsidR="00A2389F" w:rsidRPr="002779F3">
          <w:rPr>
            <w:rStyle w:val="Hyperlink"/>
            <w:noProof/>
          </w:rPr>
          <w:t>The Application</w:t>
        </w:r>
        <w:r w:rsidR="00A2389F">
          <w:rPr>
            <w:noProof/>
            <w:webHidden/>
          </w:rPr>
          <w:tab/>
        </w:r>
        <w:r w:rsidR="00A2389F">
          <w:rPr>
            <w:noProof/>
            <w:webHidden/>
          </w:rPr>
          <w:fldChar w:fldCharType="begin"/>
        </w:r>
        <w:r w:rsidR="00A2389F">
          <w:rPr>
            <w:noProof/>
            <w:webHidden/>
          </w:rPr>
          <w:instrText xml:space="preserve"> PAGEREF _Toc43128112 \h </w:instrText>
        </w:r>
        <w:r w:rsidR="00A2389F">
          <w:rPr>
            <w:noProof/>
            <w:webHidden/>
          </w:rPr>
        </w:r>
        <w:r w:rsidR="00A2389F">
          <w:rPr>
            <w:noProof/>
            <w:webHidden/>
          </w:rPr>
          <w:fldChar w:fldCharType="separate"/>
        </w:r>
        <w:r w:rsidR="00A2389F">
          <w:rPr>
            <w:noProof/>
            <w:webHidden/>
          </w:rPr>
          <w:t>6</w:t>
        </w:r>
        <w:r w:rsidR="00A2389F">
          <w:rPr>
            <w:noProof/>
            <w:webHidden/>
          </w:rPr>
          <w:fldChar w:fldCharType="end"/>
        </w:r>
      </w:hyperlink>
    </w:p>
    <w:p w14:paraId="00F89EA8" w14:textId="66A0C830" w:rsidR="00A2389F" w:rsidRDefault="0058654C">
      <w:pPr>
        <w:pStyle w:val="TOC2"/>
        <w:tabs>
          <w:tab w:val="left" w:pos="880"/>
          <w:tab w:val="right" w:leader="dot" w:pos="9060"/>
        </w:tabs>
        <w:rPr>
          <w:rFonts w:eastAsiaTheme="minorEastAsia" w:cstheme="minorBidi"/>
          <w:smallCaps w:val="0"/>
          <w:noProof/>
          <w:sz w:val="22"/>
          <w:szCs w:val="22"/>
          <w:lang w:eastAsia="en-GB" w:bidi="ar-SA"/>
        </w:rPr>
      </w:pPr>
      <w:hyperlink w:anchor="_Toc43128113" w:history="1">
        <w:r w:rsidR="00A2389F" w:rsidRPr="002779F3">
          <w:rPr>
            <w:rStyle w:val="Hyperlink"/>
            <w:noProof/>
          </w:rPr>
          <w:t>1.3</w:t>
        </w:r>
        <w:r w:rsidR="00A2389F">
          <w:rPr>
            <w:rFonts w:eastAsiaTheme="minorEastAsia" w:cstheme="minorBidi"/>
            <w:smallCaps w:val="0"/>
            <w:noProof/>
            <w:sz w:val="22"/>
            <w:szCs w:val="22"/>
            <w:lang w:eastAsia="en-GB" w:bidi="ar-SA"/>
          </w:rPr>
          <w:tab/>
        </w:r>
        <w:r w:rsidR="00A2389F" w:rsidRPr="002779F3">
          <w:rPr>
            <w:rStyle w:val="Hyperlink"/>
            <w:noProof/>
          </w:rPr>
          <w:t>The current standard</w:t>
        </w:r>
        <w:r w:rsidR="00A2389F">
          <w:rPr>
            <w:noProof/>
            <w:webHidden/>
          </w:rPr>
          <w:tab/>
        </w:r>
        <w:r w:rsidR="00A2389F">
          <w:rPr>
            <w:noProof/>
            <w:webHidden/>
          </w:rPr>
          <w:fldChar w:fldCharType="begin"/>
        </w:r>
        <w:r w:rsidR="00A2389F">
          <w:rPr>
            <w:noProof/>
            <w:webHidden/>
          </w:rPr>
          <w:instrText xml:space="preserve"> PAGEREF _Toc43128113 \h </w:instrText>
        </w:r>
        <w:r w:rsidR="00A2389F">
          <w:rPr>
            <w:noProof/>
            <w:webHidden/>
          </w:rPr>
        </w:r>
        <w:r w:rsidR="00A2389F">
          <w:rPr>
            <w:noProof/>
            <w:webHidden/>
          </w:rPr>
          <w:fldChar w:fldCharType="separate"/>
        </w:r>
        <w:r w:rsidR="00A2389F">
          <w:rPr>
            <w:noProof/>
            <w:webHidden/>
          </w:rPr>
          <w:t>7</w:t>
        </w:r>
        <w:r w:rsidR="00A2389F">
          <w:rPr>
            <w:noProof/>
            <w:webHidden/>
          </w:rPr>
          <w:fldChar w:fldCharType="end"/>
        </w:r>
      </w:hyperlink>
    </w:p>
    <w:p w14:paraId="5CEB3AE4" w14:textId="113BF0E7"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14" w:history="1">
        <w:r w:rsidR="00A2389F" w:rsidRPr="002779F3">
          <w:rPr>
            <w:rStyle w:val="Hyperlink"/>
            <w:noProof/>
          </w:rPr>
          <w:t>1.3.1</w:t>
        </w:r>
        <w:r w:rsidR="00A2389F">
          <w:rPr>
            <w:rFonts w:eastAsiaTheme="minorEastAsia" w:cstheme="minorBidi"/>
            <w:i w:val="0"/>
            <w:iCs w:val="0"/>
            <w:noProof/>
            <w:sz w:val="22"/>
            <w:szCs w:val="22"/>
            <w:lang w:eastAsia="en-GB" w:bidi="ar-SA"/>
          </w:rPr>
          <w:tab/>
        </w:r>
        <w:r w:rsidR="00A2389F" w:rsidRPr="002779F3">
          <w:rPr>
            <w:rStyle w:val="Hyperlink"/>
            <w:noProof/>
          </w:rPr>
          <w:t>Australia and New Zealand</w:t>
        </w:r>
        <w:r w:rsidR="00A2389F">
          <w:rPr>
            <w:noProof/>
            <w:webHidden/>
          </w:rPr>
          <w:tab/>
        </w:r>
        <w:r w:rsidR="00A2389F">
          <w:rPr>
            <w:noProof/>
            <w:webHidden/>
          </w:rPr>
          <w:fldChar w:fldCharType="begin"/>
        </w:r>
        <w:r w:rsidR="00A2389F">
          <w:rPr>
            <w:noProof/>
            <w:webHidden/>
          </w:rPr>
          <w:instrText xml:space="preserve"> PAGEREF _Toc43128114 \h </w:instrText>
        </w:r>
        <w:r w:rsidR="00A2389F">
          <w:rPr>
            <w:noProof/>
            <w:webHidden/>
          </w:rPr>
        </w:r>
        <w:r w:rsidR="00A2389F">
          <w:rPr>
            <w:noProof/>
            <w:webHidden/>
          </w:rPr>
          <w:fldChar w:fldCharType="separate"/>
        </w:r>
        <w:r w:rsidR="00A2389F">
          <w:rPr>
            <w:noProof/>
            <w:webHidden/>
          </w:rPr>
          <w:t>7</w:t>
        </w:r>
        <w:r w:rsidR="00A2389F">
          <w:rPr>
            <w:noProof/>
            <w:webHidden/>
          </w:rPr>
          <w:fldChar w:fldCharType="end"/>
        </w:r>
      </w:hyperlink>
    </w:p>
    <w:p w14:paraId="473F2EF2" w14:textId="184F07D0"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15" w:history="1">
        <w:r w:rsidR="00A2389F" w:rsidRPr="002779F3">
          <w:rPr>
            <w:rStyle w:val="Hyperlink"/>
            <w:noProof/>
          </w:rPr>
          <w:t>1.3.2</w:t>
        </w:r>
        <w:r w:rsidR="00A2389F">
          <w:rPr>
            <w:rFonts w:eastAsiaTheme="minorEastAsia" w:cstheme="minorBidi"/>
            <w:i w:val="0"/>
            <w:iCs w:val="0"/>
            <w:noProof/>
            <w:sz w:val="22"/>
            <w:szCs w:val="22"/>
            <w:lang w:eastAsia="en-GB" w:bidi="ar-SA"/>
          </w:rPr>
          <w:tab/>
        </w:r>
        <w:r w:rsidR="00A2389F" w:rsidRPr="002779F3">
          <w:rPr>
            <w:rStyle w:val="Hyperlink"/>
            <w:noProof/>
          </w:rPr>
          <w:t>International Regulations</w:t>
        </w:r>
        <w:r w:rsidR="00A2389F">
          <w:rPr>
            <w:noProof/>
            <w:webHidden/>
          </w:rPr>
          <w:tab/>
        </w:r>
        <w:r w:rsidR="00A2389F">
          <w:rPr>
            <w:noProof/>
            <w:webHidden/>
          </w:rPr>
          <w:fldChar w:fldCharType="begin"/>
        </w:r>
        <w:r w:rsidR="00A2389F">
          <w:rPr>
            <w:noProof/>
            <w:webHidden/>
          </w:rPr>
          <w:instrText xml:space="preserve"> PAGEREF _Toc43128115 \h </w:instrText>
        </w:r>
        <w:r w:rsidR="00A2389F">
          <w:rPr>
            <w:noProof/>
            <w:webHidden/>
          </w:rPr>
        </w:r>
        <w:r w:rsidR="00A2389F">
          <w:rPr>
            <w:noProof/>
            <w:webHidden/>
          </w:rPr>
          <w:fldChar w:fldCharType="separate"/>
        </w:r>
        <w:r w:rsidR="00A2389F">
          <w:rPr>
            <w:noProof/>
            <w:webHidden/>
          </w:rPr>
          <w:t>9</w:t>
        </w:r>
        <w:r w:rsidR="00A2389F">
          <w:rPr>
            <w:noProof/>
            <w:webHidden/>
          </w:rPr>
          <w:fldChar w:fldCharType="end"/>
        </w:r>
      </w:hyperlink>
    </w:p>
    <w:p w14:paraId="5DF8D15B" w14:textId="6B5C657B" w:rsidR="00A2389F" w:rsidRDefault="0058654C">
      <w:pPr>
        <w:pStyle w:val="TOC2"/>
        <w:tabs>
          <w:tab w:val="left" w:pos="880"/>
          <w:tab w:val="right" w:leader="dot" w:pos="9060"/>
        </w:tabs>
        <w:rPr>
          <w:rFonts w:eastAsiaTheme="minorEastAsia" w:cstheme="minorBidi"/>
          <w:smallCaps w:val="0"/>
          <w:noProof/>
          <w:sz w:val="22"/>
          <w:szCs w:val="22"/>
          <w:lang w:eastAsia="en-GB" w:bidi="ar-SA"/>
        </w:rPr>
      </w:pPr>
      <w:hyperlink w:anchor="_Toc43128116" w:history="1">
        <w:r w:rsidR="00A2389F" w:rsidRPr="002779F3">
          <w:rPr>
            <w:rStyle w:val="Hyperlink"/>
            <w:noProof/>
            <w:u w:color="FFFF00"/>
          </w:rPr>
          <w:t>1.4</w:t>
        </w:r>
        <w:r w:rsidR="00A2389F">
          <w:rPr>
            <w:rFonts w:eastAsiaTheme="minorEastAsia" w:cstheme="minorBidi"/>
            <w:smallCaps w:val="0"/>
            <w:noProof/>
            <w:sz w:val="22"/>
            <w:szCs w:val="22"/>
            <w:lang w:eastAsia="en-GB" w:bidi="ar-SA"/>
          </w:rPr>
          <w:tab/>
        </w:r>
        <w:r w:rsidR="00A2389F" w:rsidRPr="002779F3">
          <w:rPr>
            <w:rStyle w:val="Hyperlink"/>
            <w:noProof/>
            <w:u w:color="FFFF00"/>
          </w:rPr>
          <w:t>Reasons for accepting Application</w:t>
        </w:r>
        <w:r w:rsidR="00A2389F">
          <w:rPr>
            <w:noProof/>
            <w:webHidden/>
          </w:rPr>
          <w:tab/>
        </w:r>
        <w:r w:rsidR="00A2389F">
          <w:rPr>
            <w:noProof/>
            <w:webHidden/>
          </w:rPr>
          <w:fldChar w:fldCharType="begin"/>
        </w:r>
        <w:r w:rsidR="00A2389F">
          <w:rPr>
            <w:noProof/>
            <w:webHidden/>
          </w:rPr>
          <w:instrText xml:space="preserve"> PAGEREF _Toc43128116 \h </w:instrText>
        </w:r>
        <w:r w:rsidR="00A2389F">
          <w:rPr>
            <w:noProof/>
            <w:webHidden/>
          </w:rPr>
        </w:r>
        <w:r w:rsidR="00A2389F">
          <w:rPr>
            <w:noProof/>
            <w:webHidden/>
          </w:rPr>
          <w:fldChar w:fldCharType="separate"/>
        </w:r>
        <w:r w:rsidR="00A2389F">
          <w:rPr>
            <w:noProof/>
            <w:webHidden/>
          </w:rPr>
          <w:t>10</w:t>
        </w:r>
        <w:r w:rsidR="00A2389F">
          <w:rPr>
            <w:noProof/>
            <w:webHidden/>
          </w:rPr>
          <w:fldChar w:fldCharType="end"/>
        </w:r>
      </w:hyperlink>
    </w:p>
    <w:p w14:paraId="2D8468ED" w14:textId="21A3BF28" w:rsidR="00A2389F" w:rsidRDefault="0058654C">
      <w:pPr>
        <w:pStyle w:val="TOC2"/>
        <w:tabs>
          <w:tab w:val="left" w:pos="880"/>
          <w:tab w:val="right" w:leader="dot" w:pos="9060"/>
        </w:tabs>
        <w:rPr>
          <w:rFonts w:eastAsiaTheme="minorEastAsia" w:cstheme="minorBidi"/>
          <w:smallCaps w:val="0"/>
          <w:noProof/>
          <w:sz w:val="22"/>
          <w:szCs w:val="22"/>
          <w:lang w:eastAsia="en-GB" w:bidi="ar-SA"/>
        </w:rPr>
      </w:pPr>
      <w:hyperlink w:anchor="_Toc43128117" w:history="1">
        <w:r w:rsidR="00A2389F" w:rsidRPr="002779F3">
          <w:rPr>
            <w:rStyle w:val="Hyperlink"/>
            <w:noProof/>
          </w:rPr>
          <w:t>1.5</w:t>
        </w:r>
        <w:r w:rsidR="00A2389F">
          <w:rPr>
            <w:rFonts w:eastAsiaTheme="minorEastAsia" w:cstheme="minorBidi"/>
            <w:smallCaps w:val="0"/>
            <w:noProof/>
            <w:sz w:val="22"/>
            <w:szCs w:val="22"/>
            <w:lang w:eastAsia="en-GB" w:bidi="ar-SA"/>
          </w:rPr>
          <w:tab/>
        </w:r>
        <w:r w:rsidR="00A2389F" w:rsidRPr="002779F3">
          <w:rPr>
            <w:rStyle w:val="Hyperlink"/>
            <w:noProof/>
          </w:rPr>
          <w:t>Procedure for assessment</w:t>
        </w:r>
        <w:r w:rsidR="00A2389F">
          <w:rPr>
            <w:noProof/>
            <w:webHidden/>
          </w:rPr>
          <w:tab/>
        </w:r>
        <w:r w:rsidR="00A2389F">
          <w:rPr>
            <w:noProof/>
            <w:webHidden/>
          </w:rPr>
          <w:fldChar w:fldCharType="begin"/>
        </w:r>
        <w:r w:rsidR="00A2389F">
          <w:rPr>
            <w:noProof/>
            <w:webHidden/>
          </w:rPr>
          <w:instrText xml:space="preserve"> PAGEREF _Toc43128117 \h </w:instrText>
        </w:r>
        <w:r w:rsidR="00A2389F">
          <w:rPr>
            <w:noProof/>
            <w:webHidden/>
          </w:rPr>
        </w:r>
        <w:r w:rsidR="00A2389F">
          <w:rPr>
            <w:noProof/>
            <w:webHidden/>
          </w:rPr>
          <w:fldChar w:fldCharType="separate"/>
        </w:r>
        <w:r w:rsidR="00A2389F">
          <w:rPr>
            <w:noProof/>
            <w:webHidden/>
          </w:rPr>
          <w:t>10</w:t>
        </w:r>
        <w:r w:rsidR="00A2389F">
          <w:rPr>
            <w:noProof/>
            <w:webHidden/>
          </w:rPr>
          <w:fldChar w:fldCharType="end"/>
        </w:r>
      </w:hyperlink>
    </w:p>
    <w:p w14:paraId="4BBA0FE8" w14:textId="35F04CCA" w:rsidR="00A2389F" w:rsidRDefault="0058654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128118" w:history="1">
        <w:r w:rsidR="00A2389F" w:rsidRPr="002779F3">
          <w:rPr>
            <w:rStyle w:val="Hyperlink"/>
            <w:noProof/>
          </w:rPr>
          <w:t>2</w:t>
        </w:r>
        <w:r w:rsidR="00A2389F">
          <w:rPr>
            <w:rFonts w:eastAsiaTheme="minorEastAsia" w:cstheme="minorBidi"/>
            <w:b w:val="0"/>
            <w:bCs w:val="0"/>
            <w:caps w:val="0"/>
            <w:noProof/>
            <w:sz w:val="22"/>
            <w:szCs w:val="22"/>
            <w:lang w:eastAsia="en-GB" w:bidi="ar-SA"/>
          </w:rPr>
          <w:tab/>
        </w:r>
        <w:r w:rsidR="00A2389F" w:rsidRPr="002779F3">
          <w:rPr>
            <w:rStyle w:val="Hyperlink"/>
            <w:noProof/>
          </w:rPr>
          <w:t>Summary of the assessment</w:t>
        </w:r>
        <w:r w:rsidR="00A2389F">
          <w:rPr>
            <w:noProof/>
            <w:webHidden/>
          </w:rPr>
          <w:tab/>
        </w:r>
        <w:r w:rsidR="00A2389F">
          <w:rPr>
            <w:noProof/>
            <w:webHidden/>
          </w:rPr>
          <w:fldChar w:fldCharType="begin"/>
        </w:r>
        <w:r w:rsidR="00A2389F">
          <w:rPr>
            <w:noProof/>
            <w:webHidden/>
          </w:rPr>
          <w:instrText xml:space="preserve"> PAGEREF _Toc43128118 \h </w:instrText>
        </w:r>
        <w:r w:rsidR="00A2389F">
          <w:rPr>
            <w:noProof/>
            <w:webHidden/>
          </w:rPr>
        </w:r>
        <w:r w:rsidR="00A2389F">
          <w:rPr>
            <w:noProof/>
            <w:webHidden/>
          </w:rPr>
          <w:fldChar w:fldCharType="separate"/>
        </w:r>
        <w:r w:rsidR="00A2389F">
          <w:rPr>
            <w:noProof/>
            <w:webHidden/>
          </w:rPr>
          <w:t>10</w:t>
        </w:r>
        <w:r w:rsidR="00A2389F">
          <w:rPr>
            <w:noProof/>
            <w:webHidden/>
          </w:rPr>
          <w:fldChar w:fldCharType="end"/>
        </w:r>
      </w:hyperlink>
    </w:p>
    <w:p w14:paraId="3C011FE2" w14:textId="5BE8584A" w:rsidR="00A2389F" w:rsidRDefault="0058654C">
      <w:pPr>
        <w:pStyle w:val="TOC2"/>
        <w:tabs>
          <w:tab w:val="left" w:pos="880"/>
          <w:tab w:val="right" w:leader="dot" w:pos="9060"/>
        </w:tabs>
        <w:rPr>
          <w:rFonts w:eastAsiaTheme="minorEastAsia" w:cstheme="minorBidi"/>
          <w:smallCaps w:val="0"/>
          <w:noProof/>
          <w:sz w:val="22"/>
          <w:szCs w:val="22"/>
          <w:lang w:eastAsia="en-GB" w:bidi="ar-SA"/>
        </w:rPr>
      </w:pPr>
      <w:hyperlink w:anchor="_Toc43128119" w:history="1">
        <w:r w:rsidR="00A2389F" w:rsidRPr="002779F3">
          <w:rPr>
            <w:rStyle w:val="Hyperlink"/>
            <w:noProof/>
          </w:rPr>
          <w:t>2.1</w:t>
        </w:r>
        <w:r w:rsidR="00A2389F">
          <w:rPr>
            <w:rFonts w:eastAsiaTheme="minorEastAsia" w:cstheme="minorBidi"/>
            <w:smallCaps w:val="0"/>
            <w:noProof/>
            <w:sz w:val="22"/>
            <w:szCs w:val="22"/>
            <w:lang w:eastAsia="en-GB" w:bidi="ar-SA"/>
          </w:rPr>
          <w:tab/>
        </w:r>
        <w:r w:rsidR="00A2389F" w:rsidRPr="002779F3">
          <w:rPr>
            <w:rStyle w:val="Hyperlink"/>
            <w:noProof/>
          </w:rPr>
          <w:t>Summary of issues raised in submissions</w:t>
        </w:r>
        <w:r w:rsidR="00A2389F">
          <w:rPr>
            <w:noProof/>
            <w:webHidden/>
          </w:rPr>
          <w:tab/>
        </w:r>
        <w:r w:rsidR="00A2389F">
          <w:rPr>
            <w:noProof/>
            <w:webHidden/>
          </w:rPr>
          <w:fldChar w:fldCharType="begin"/>
        </w:r>
        <w:r w:rsidR="00A2389F">
          <w:rPr>
            <w:noProof/>
            <w:webHidden/>
          </w:rPr>
          <w:instrText xml:space="preserve"> PAGEREF _Toc43128119 \h </w:instrText>
        </w:r>
        <w:r w:rsidR="00A2389F">
          <w:rPr>
            <w:noProof/>
            <w:webHidden/>
          </w:rPr>
        </w:r>
        <w:r w:rsidR="00A2389F">
          <w:rPr>
            <w:noProof/>
            <w:webHidden/>
          </w:rPr>
          <w:fldChar w:fldCharType="separate"/>
        </w:r>
        <w:r w:rsidR="00A2389F">
          <w:rPr>
            <w:noProof/>
            <w:webHidden/>
          </w:rPr>
          <w:t>10</w:t>
        </w:r>
        <w:r w:rsidR="00A2389F">
          <w:rPr>
            <w:noProof/>
            <w:webHidden/>
          </w:rPr>
          <w:fldChar w:fldCharType="end"/>
        </w:r>
      </w:hyperlink>
    </w:p>
    <w:p w14:paraId="1230EA76" w14:textId="620E60E3" w:rsidR="00A2389F" w:rsidRDefault="0058654C">
      <w:pPr>
        <w:pStyle w:val="TOC2"/>
        <w:tabs>
          <w:tab w:val="left" w:pos="880"/>
          <w:tab w:val="right" w:leader="dot" w:pos="9060"/>
        </w:tabs>
        <w:rPr>
          <w:rFonts w:eastAsiaTheme="minorEastAsia" w:cstheme="minorBidi"/>
          <w:smallCaps w:val="0"/>
          <w:noProof/>
          <w:sz w:val="22"/>
          <w:szCs w:val="22"/>
          <w:lang w:eastAsia="en-GB" w:bidi="ar-SA"/>
        </w:rPr>
      </w:pPr>
      <w:hyperlink w:anchor="_Toc43128120" w:history="1">
        <w:r w:rsidR="00A2389F" w:rsidRPr="002779F3">
          <w:rPr>
            <w:rStyle w:val="Hyperlink"/>
            <w:noProof/>
          </w:rPr>
          <w:t>2.2</w:t>
        </w:r>
        <w:r w:rsidR="00A2389F">
          <w:rPr>
            <w:rFonts w:eastAsiaTheme="minorEastAsia" w:cstheme="minorBidi"/>
            <w:smallCaps w:val="0"/>
            <w:noProof/>
            <w:sz w:val="22"/>
            <w:szCs w:val="22"/>
            <w:lang w:eastAsia="en-GB" w:bidi="ar-SA"/>
          </w:rPr>
          <w:tab/>
        </w:r>
        <w:r w:rsidR="00A2389F" w:rsidRPr="002779F3">
          <w:rPr>
            <w:rStyle w:val="Hyperlink"/>
            <w:noProof/>
          </w:rPr>
          <w:t>Risk assessment</w:t>
        </w:r>
        <w:r w:rsidR="00A2389F">
          <w:rPr>
            <w:noProof/>
            <w:webHidden/>
          </w:rPr>
          <w:tab/>
        </w:r>
        <w:r w:rsidR="00A2389F">
          <w:rPr>
            <w:noProof/>
            <w:webHidden/>
          </w:rPr>
          <w:fldChar w:fldCharType="begin"/>
        </w:r>
        <w:r w:rsidR="00A2389F">
          <w:rPr>
            <w:noProof/>
            <w:webHidden/>
          </w:rPr>
          <w:instrText xml:space="preserve"> PAGEREF _Toc43128120 \h </w:instrText>
        </w:r>
        <w:r w:rsidR="00A2389F">
          <w:rPr>
            <w:noProof/>
            <w:webHidden/>
          </w:rPr>
        </w:r>
        <w:r w:rsidR="00A2389F">
          <w:rPr>
            <w:noProof/>
            <w:webHidden/>
          </w:rPr>
          <w:fldChar w:fldCharType="separate"/>
        </w:r>
        <w:r w:rsidR="00A2389F">
          <w:rPr>
            <w:noProof/>
            <w:webHidden/>
          </w:rPr>
          <w:t>30</w:t>
        </w:r>
        <w:r w:rsidR="00A2389F">
          <w:rPr>
            <w:noProof/>
            <w:webHidden/>
          </w:rPr>
          <w:fldChar w:fldCharType="end"/>
        </w:r>
      </w:hyperlink>
    </w:p>
    <w:p w14:paraId="799F5DAC" w14:textId="2BCDE5FF" w:rsidR="00A2389F" w:rsidRDefault="0058654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128121" w:history="1">
        <w:r w:rsidR="00A2389F" w:rsidRPr="002779F3">
          <w:rPr>
            <w:rStyle w:val="Hyperlink"/>
            <w:noProof/>
          </w:rPr>
          <w:t>3</w:t>
        </w:r>
        <w:r w:rsidR="00A2389F">
          <w:rPr>
            <w:rFonts w:eastAsiaTheme="minorEastAsia" w:cstheme="minorBidi"/>
            <w:b w:val="0"/>
            <w:bCs w:val="0"/>
            <w:caps w:val="0"/>
            <w:noProof/>
            <w:sz w:val="22"/>
            <w:szCs w:val="22"/>
            <w:lang w:eastAsia="en-GB" w:bidi="ar-SA"/>
          </w:rPr>
          <w:tab/>
        </w:r>
        <w:r w:rsidR="00A2389F" w:rsidRPr="002779F3">
          <w:rPr>
            <w:rStyle w:val="Hyperlink"/>
            <w:noProof/>
          </w:rPr>
          <w:t>Risk management</w:t>
        </w:r>
        <w:r w:rsidR="00A2389F">
          <w:rPr>
            <w:noProof/>
            <w:webHidden/>
          </w:rPr>
          <w:tab/>
        </w:r>
        <w:r w:rsidR="00A2389F">
          <w:rPr>
            <w:noProof/>
            <w:webHidden/>
          </w:rPr>
          <w:fldChar w:fldCharType="begin"/>
        </w:r>
        <w:r w:rsidR="00A2389F">
          <w:rPr>
            <w:noProof/>
            <w:webHidden/>
          </w:rPr>
          <w:instrText xml:space="preserve"> PAGEREF _Toc43128121 \h </w:instrText>
        </w:r>
        <w:r w:rsidR="00A2389F">
          <w:rPr>
            <w:noProof/>
            <w:webHidden/>
          </w:rPr>
        </w:r>
        <w:r w:rsidR="00A2389F">
          <w:rPr>
            <w:noProof/>
            <w:webHidden/>
          </w:rPr>
          <w:fldChar w:fldCharType="separate"/>
        </w:r>
        <w:r w:rsidR="00A2389F">
          <w:rPr>
            <w:noProof/>
            <w:webHidden/>
          </w:rPr>
          <w:t>31</w:t>
        </w:r>
        <w:r w:rsidR="00A2389F">
          <w:rPr>
            <w:noProof/>
            <w:webHidden/>
          </w:rPr>
          <w:fldChar w:fldCharType="end"/>
        </w:r>
      </w:hyperlink>
    </w:p>
    <w:p w14:paraId="71D98126" w14:textId="3B416265" w:rsidR="00A2389F" w:rsidRDefault="0058654C">
      <w:pPr>
        <w:pStyle w:val="TOC2"/>
        <w:tabs>
          <w:tab w:val="left" w:pos="880"/>
          <w:tab w:val="right" w:leader="dot" w:pos="9060"/>
        </w:tabs>
        <w:rPr>
          <w:rFonts w:eastAsiaTheme="minorEastAsia" w:cstheme="minorBidi"/>
          <w:smallCaps w:val="0"/>
          <w:noProof/>
          <w:sz w:val="22"/>
          <w:szCs w:val="22"/>
          <w:lang w:eastAsia="en-GB" w:bidi="ar-SA"/>
        </w:rPr>
      </w:pPr>
      <w:hyperlink w:anchor="_Toc43128122" w:history="1">
        <w:r w:rsidR="00A2389F" w:rsidRPr="002779F3">
          <w:rPr>
            <w:rStyle w:val="Hyperlink"/>
            <w:rFonts w:eastAsia="Calibri"/>
            <w:noProof/>
          </w:rPr>
          <w:t>3.1</w:t>
        </w:r>
        <w:r w:rsidR="00A2389F">
          <w:rPr>
            <w:rFonts w:eastAsiaTheme="minorEastAsia" w:cstheme="minorBidi"/>
            <w:smallCaps w:val="0"/>
            <w:noProof/>
            <w:sz w:val="22"/>
            <w:szCs w:val="22"/>
            <w:lang w:eastAsia="en-GB" w:bidi="ar-SA"/>
          </w:rPr>
          <w:tab/>
        </w:r>
        <w:r w:rsidR="00A2389F" w:rsidRPr="002779F3">
          <w:rPr>
            <w:rStyle w:val="Hyperlink"/>
            <w:rFonts w:eastAsia="Calibri"/>
            <w:noProof/>
          </w:rPr>
          <w:t>Regulation of soy leghemoglobin in the Code</w:t>
        </w:r>
        <w:r w:rsidR="00A2389F">
          <w:rPr>
            <w:noProof/>
            <w:webHidden/>
          </w:rPr>
          <w:tab/>
        </w:r>
        <w:r w:rsidR="00A2389F">
          <w:rPr>
            <w:noProof/>
            <w:webHidden/>
          </w:rPr>
          <w:fldChar w:fldCharType="begin"/>
        </w:r>
        <w:r w:rsidR="00A2389F">
          <w:rPr>
            <w:noProof/>
            <w:webHidden/>
          </w:rPr>
          <w:instrText xml:space="preserve"> PAGEREF _Toc43128122 \h </w:instrText>
        </w:r>
        <w:r w:rsidR="00A2389F">
          <w:rPr>
            <w:noProof/>
            <w:webHidden/>
          </w:rPr>
        </w:r>
        <w:r w:rsidR="00A2389F">
          <w:rPr>
            <w:noProof/>
            <w:webHidden/>
          </w:rPr>
          <w:fldChar w:fldCharType="separate"/>
        </w:r>
        <w:r w:rsidR="00A2389F">
          <w:rPr>
            <w:noProof/>
            <w:webHidden/>
          </w:rPr>
          <w:t>31</w:t>
        </w:r>
        <w:r w:rsidR="00A2389F">
          <w:rPr>
            <w:noProof/>
            <w:webHidden/>
          </w:rPr>
          <w:fldChar w:fldCharType="end"/>
        </w:r>
      </w:hyperlink>
    </w:p>
    <w:p w14:paraId="403C7DC6" w14:textId="167658EB"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23" w:history="1">
        <w:r w:rsidR="00A2389F" w:rsidRPr="002779F3">
          <w:rPr>
            <w:rStyle w:val="Hyperlink"/>
            <w:rFonts w:eastAsia="Calibri"/>
            <w:noProof/>
          </w:rPr>
          <w:t>3.1.1</w:t>
        </w:r>
        <w:r w:rsidR="00A2389F">
          <w:rPr>
            <w:rFonts w:eastAsiaTheme="minorEastAsia" w:cstheme="minorBidi"/>
            <w:i w:val="0"/>
            <w:iCs w:val="0"/>
            <w:noProof/>
            <w:sz w:val="22"/>
            <w:szCs w:val="22"/>
            <w:lang w:eastAsia="en-GB" w:bidi="ar-SA"/>
          </w:rPr>
          <w:tab/>
        </w:r>
        <w:r w:rsidR="00A2389F" w:rsidRPr="002779F3">
          <w:rPr>
            <w:rStyle w:val="Hyperlink"/>
            <w:rFonts w:eastAsia="Calibri"/>
            <w:noProof/>
          </w:rPr>
          <w:t>Permitted use levels of soy leghemoglobin</w:t>
        </w:r>
        <w:r w:rsidR="00A2389F">
          <w:rPr>
            <w:noProof/>
            <w:webHidden/>
          </w:rPr>
          <w:tab/>
        </w:r>
        <w:r w:rsidR="00A2389F">
          <w:rPr>
            <w:noProof/>
            <w:webHidden/>
          </w:rPr>
          <w:fldChar w:fldCharType="begin"/>
        </w:r>
        <w:r w:rsidR="00A2389F">
          <w:rPr>
            <w:noProof/>
            <w:webHidden/>
          </w:rPr>
          <w:instrText xml:space="preserve"> PAGEREF _Toc43128123 \h </w:instrText>
        </w:r>
        <w:r w:rsidR="00A2389F">
          <w:rPr>
            <w:noProof/>
            <w:webHidden/>
          </w:rPr>
        </w:r>
        <w:r w:rsidR="00A2389F">
          <w:rPr>
            <w:noProof/>
            <w:webHidden/>
          </w:rPr>
          <w:fldChar w:fldCharType="separate"/>
        </w:r>
        <w:r w:rsidR="00A2389F">
          <w:rPr>
            <w:noProof/>
            <w:webHidden/>
          </w:rPr>
          <w:t>32</w:t>
        </w:r>
        <w:r w:rsidR="00A2389F">
          <w:rPr>
            <w:noProof/>
            <w:webHidden/>
          </w:rPr>
          <w:fldChar w:fldCharType="end"/>
        </w:r>
      </w:hyperlink>
    </w:p>
    <w:p w14:paraId="6BB1EF37" w14:textId="357FC0E7"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24" w:history="1">
        <w:r w:rsidR="00A2389F" w:rsidRPr="002779F3">
          <w:rPr>
            <w:rStyle w:val="Hyperlink"/>
            <w:rFonts w:eastAsia="Calibri"/>
            <w:noProof/>
          </w:rPr>
          <w:t>3.1.2</w:t>
        </w:r>
        <w:r w:rsidR="00A2389F">
          <w:rPr>
            <w:rFonts w:eastAsiaTheme="minorEastAsia" w:cstheme="minorBidi"/>
            <w:i w:val="0"/>
            <w:iCs w:val="0"/>
            <w:noProof/>
            <w:sz w:val="22"/>
            <w:szCs w:val="22"/>
            <w:lang w:eastAsia="en-GB" w:bidi="ar-SA"/>
          </w:rPr>
          <w:tab/>
        </w:r>
        <w:r w:rsidR="00A2389F" w:rsidRPr="002779F3">
          <w:rPr>
            <w:rStyle w:val="Hyperlink"/>
            <w:rFonts w:eastAsia="Calibri"/>
            <w:noProof/>
          </w:rPr>
          <w:t>Identifying levels of soy leghemoglobin in the food supply</w:t>
        </w:r>
        <w:r w:rsidR="00A2389F">
          <w:rPr>
            <w:noProof/>
            <w:webHidden/>
          </w:rPr>
          <w:tab/>
        </w:r>
        <w:r w:rsidR="00A2389F">
          <w:rPr>
            <w:noProof/>
            <w:webHidden/>
          </w:rPr>
          <w:fldChar w:fldCharType="begin"/>
        </w:r>
        <w:r w:rsidR="00A2389F">
          <w:rPr>
            <w:noProof/>
            <w:webHidden/>
          </w:rPr>
          <w:instrText xml:space="preserve"> PAGEREF _Toc43128124 \h </w:instrText>
        </w:r>
        <w:r w:rsidR="00A2389F">
          <w:rPr>
            <w:noProof/>
            <w:webHidden/>
          </w:rPr>
        </w:r>
        <w:r w:rsidR="00A2389F">
          <w:rPr>
            <w:noProof/>
            <w:webHidden/>
          </w:rPr>
          <w:fldChar w:fldCharType="separate"/>
        </w:r>
        <w:r w:rsidR="00A2389F">
          <w:rPr>
            <w:noProof/>
            <w:webHidden/>
          </w:rPr>
          <w:t>32</w:t>
        </w:r>
        <w:r w:rsidR="00A2389F">
          <w:rPr>
            <w:noProof/>
            <w:webHidden/>
          </w:rPr>
          <w:fldChar w:fldCharType="end"/>
        </w:r>
      </w:hyperlink>
    </w:p>
    <w:p w14:paraId="24330C77" w14:textId="6CB4B83E" w:rsidR="00A2389F" w:rsidRDefault="0058654C">
      <w:pPr>
        <w:pStyle w:val="TOC2"/>
        <w:tabs>
          <w:tab w:val="left" w:pos="880"/>
          <w:tab w:val="right" w:leader="dot" w:pos="9060"/>
        </w:tabs>
        <w:rPr>
          <w:rFonts w:eastAsiaTheme="minorEastAsia" w:cstheme="minorBidi"/>
          <w:smallCaps w:val="0"/>
          <w:noProof/>
          <w:sz w:val="22"/>
          <w:szCs w:val="22"/>
          <w:lang w:eastAsia="en-GB" w:bidi="ar-SA"/>
        </w:rPr>
      </w:pPr>
      <w:hyperlink w:anchor="_Toc43128125" w:history="1">
        <w:r w:rsidR="00A2389F" w:rsidRPr="002779F3">
          <w:rPr>
            <w:rStyle w:val="Hyperlink"/>
            <w:noProof/>
          </w:rPr>
          <w:t>3.2</w:t>
        </w:r>
        <w:r w:rsidR="00A2389F">
          <w:rPr>
            <w:rFonts w:eastAsiaTheme="minorEastAsia" w:cstheme="minorBidi"/>
            <w:smallCaps w:val="0"/>
            <w:noProof/>
            <w:sz w:val="22"/>
            <w:szCs w:val="22"/>
            <w:lang w:eastAsia="en-GB" w:bidi="ar-SA"/>
          </w:rPr>
          <w:tab/>
        </w:r>
        <w:r w:rsidR="00A2389F" w:rsidRPr="002779F3">
          <w:rPr>
            <w:rStyle w:val="Hyperlink"/>
            <w:noProof/>
          </w:rPr>
          <w:t>Labelling requirements</w:t>
        </w:r>
        <w:r w:rsidR="00A2389F">
          <w:rPr>
            <w:noProof/>
            <w:webHidden/>
          </w:rPr>
          <w:tab/>
        </w:r>
        <w:r w:rsidR="00A2389F">
          <w:rPr>
            <w:noProof/>
            <w:webHidden/>
          </w:rPr>
          <w:fldChar w:fldCharType="begin"/>
        </w:r>
        <w:r w:rsidR="00A2389F">
          <w:rPr>
            <w:noProof/>
            <w:webHidden/>
          </w:rPr>
          <w:instrText xml:space="preserve"> PAGEREF _Toc43128125 \h </w:instrText>
        </w:r>
        <w:r w:rsidR="00A2389F">
          <w:rPr>
            <w:noProof/>
            <w:webHidden/>
          </w:rPr>
        </w:r>
        <w:r w:rsidR="00A2389F">
          <w:rPr>
            <w:noProof/>
            <w:webHidden/>
          </w:rPr>
          <w:fldChar w:fldCharType="separate"/>
        </w:r>
        <w:r w:rsidR="00A2389F">
          <w:rPr>
            <w:noProof/>
            <w:webHidden/>
          </w:rPr>
          <w:t>32</w:t>
        </w:r>
        <w:r w:rsidR="00A2389F">
          <w:rPr>
            <w:noProof/>
            <w:webHidden/>
          </w:rPr>
          <w:fldChar w:fldCharType="end"/>
        </w:r>
      </w:hyperlink>
    </w:p>
    <w:p w14:paraId="5571F1E5" w14:textId="38361304"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26" w:history="1">
        <w:r w:rsidR="00A2389F" w:rsidRPr="002779F3">
          <w:rPr>
            <w:rStyle w:val="Hyperlink"/>
            <w:noProof/>
          </w:rPr>
          <w:t>3.2.1</w:t>
        </w:r>
        <w:r w:rsidR="00A2389F">
          <w:rPr>
            <w:rFonts w:eastAsiaTheme="minorEastAsia" w:cstheme="minorBidi"/>
            <w:i w:val="0"/>
            <w:iCs w:val="0"/>
            <w:noProof/>
            <w:sz w:val="22"/>
            <w:szCs w:val="22"/>
            <w:lang w:eastAsia="en-GB" w:bidi="ar-SA"/>
          </w:rPr>
          <w:tab/>
        </w:r>
        <w:r w:rsidR="00A2389F" w:rsidRPr="002779F3">
          <w:rPr>
            <w:rStyle w:val="Hyperlink"/>
            <w:noProof/>
          </w:rPr>
          <w:t>Name of ingredient</w:t>
        </w:r>
        <w:r w:rsidR="00A2389F">
          <w:rPr>
            <w:noProof/>
            <w:webHidden/>
          </w:rPr>
          <w:tab/>
        </w:r>
        <w:r w:rsidR="00A2389F">
          <w:rPr>
            <w:noProof/>
            <w:webHidden/>
          </w:rPr>
          <w:fldChar w:fldCharType="begin"/>
        </w:r>
        <w:r w:rsidR="00A2389F">
          <w:rPr>
            <w:noProof/>
            <w:webHidden/>
          </w:rPr>
          <w:instrText xml:space="preserve"> PAGEREF _Toc43128126 \h </w:instrText>
        </w:r>
        <w:r w:rsidR="00A2389F">
          <w:rPr>
            <w:noProof/>
            <w:webHidden/>
          </w:rPr>
        </w:r>
        <w:r w:rsidR="00A2389F">
          <w:rPr>
            <w:noProof/>
            <w:webHidden/>
          </w:rPr>
          <w:fldChar w:fldCharType="separate"/>
        </w:r>
        <w:r w:rsidR="00A2389F">
          <w:rPr>
            <w:noProof/>
            <w:webHidden/>
          </w:rPr>
          <w:t>32</w:t>
        </w:r>
        <w:r w:rsidR="00A2389F">
          <w:rPr>
            <w:noProof/>
            <w:webHidden/>
          </w:rPr>
          <w:fldChar w:fldCharType="end"/>
        </w:r>
      </w:hyperlink>
    </w:p>
    <w:p w14:paraId="0F59AEAB" w14:textId="3ADB92E1"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27" w:history="1">
        <w:r w:rsidR="00A2389F" w:rsidRPr="002779F3">
          <w:rPr>
            <w:rStyle w:val="Hyperlink"/>
            <w:noProof/>
          </w:rPr>
          <w:t>3.2.2</w:t>
        </w:r>
        <w:r w:rsidR="00A2389F">
          <w:rPr>
            <w:rFonts w:eastAsiaTheme="minorEastAsia" w:cstheme="minorBidi"/>
            <w:i w:val="0"/>
            <w:iCs w:val="0"/>
            <w:noProof/>
            <w:sz w:val="22"/>
            <w:szCs w:val="22"/>
            <w:lang w:eastAsia="en-GB" w:bidi="ar-SA"/>
          </w:rPr>
          <w:tab/>
        </w:r>
        <w:r w:rsidR="00A2389F" w:rsidRPr="002779F3">
          <w:rPr>
            <w:rStyle w:val="Hyperlink"/>
            <w:noProof/>
          </w:rPr>
          <w:t>Mandatory declaration of certain foods or substances in food</w:t>
        </w:r>
        <w:r w:rsidR="00A2389F">
          <w:rPr>
            <w:noProof/>
            <w:webHidden/>
          </w:rPr>
          <w:tab/>
        </w:r>
        <w:r w:rsidR="00A2389F">
          <w:rPr>
            <w:noProof/>
            <w:webHidden/>
          </w:rPr>
          <w:fldChar w:fldCharType="begin"/>
        </w:r>
        <w:r w:rsidR="00A2389F">
          <w:rPr>
            <w:noProof/>
            <w:webHidden/>
          </w:rPr>
          <w:instrText xml:space="preserve"> PAGEREF _Toc43128127 \h </w:instrText>
        </w:r>
        <w:r w:rsidR="00A2389F">
          <w:rPr>
            <w:noProof/>
            <w:webHidden/>
          </w:rPr>
        </w:r>
        <w:r w:rsidR="00A2389F">
          <w:rPr>
            <w:noProof/>
            <w:webHidden/>
          </w:rPr>
          <w:fldChar w:fldCharType="separate"/>
        </w:r>
        <w:r w:rsidR="00A2389F">
          <w:rPr>
            <w:noProof/>
            <w:webHidden/>
          </w:rPr>
          <w:t>33</w:t>
        </w:r>
        <w:r w:rsidR="00A2389F">
          <w:rPr>
            <w:noProof/>
            <w:webHidden/>
          </w:rPr>
          <w:fldChar w:fldCharType="end"/>
        </w:r>
      </w:hyperlink>
    </w:p>
    <w:p w14:paraId="7E8E8CBE" w14:textId="5408F733"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28" w:history="1">
        <w:r w:rsidR="00A2389F" w:rsidRPr="002779F3">
          <w:rPr>
            <w:rStyle w:val="Hyperlink"/>
            <w:noProof/>
          </w:rPr>
          <w:t>3.2.3</w:t>
        </w:r>
        <w:r w:rsidR="00A2389F">
          <w:rPr>
            <w:rFonts w:eastAsiaTheme="minorEastAsia" w:cstheme="minorBidi"/>
            <w:i w:val="0"/>
            <w:iCs w:val="0"/>
            <w:noProof/>
            <w:sz w:val="22"/>
            <w:szCs w:val="22"/>
            <w:lang w:eastAsia="en-GB" w:bidi="ar-SA"/>
          </w:rPr>
          <w:tab/>
        </w:r>
        <w:r w:rsidR="00A2389F" w:rsidRPr="002779F3">
          <w:rPr>
            <w:rStyle w:val="Hyperlink"/>
            <w:noProof/>
          </w:rPr>
          <w:t>Labelling as ‘genetically modified’</w:t>
        </w:r>
        <w:r w:rsidR="00A2389F">
          <w:rPr>
            <w:noProof/>
            <w:webHidden/>
          </w:rPr>
          <w:tab/>
        </w:r>
        <w:r w:rsidR="00A2389F">
          <w:rPr>
            <w:noProof/>
            <w:webHidden/>
          </w:rPr>
          <w:fldChar w:fldCharType="begin"/>
        </w:r>
        <w:r w:rsidR="00A2389F">
          <w:rPr>
            <w:noProof/>
            <w:webHidden/>
          </w:rPr>
          <w:instrText xml:space="preserve"> PAGEREF _Toc43128128 \h </w:instrText>
        </w:r>
        <w:r w:rsidR="00A2389F">
          <w:rPr>
            <w:noProof/>
            <w:webHidden/>
          </w:rPr>
        </w:r>
        <w:r w:rsidR="00A2389F">
          <w:rPr>
            <w:noProof/>
            <w:webHidden/>
          </w:rPr>
          <w:fldChar w:fldCharType="separate"/>
        </w:r>
        <w:r w:rsidR="00A2389F">
          <w:rPr>
            <w:noProof/>
            <w:webHidden/>
          </w:rPr>
          <w:t>33</w:t>
        </w:r>
        <w:r w:rsidR="00A2389F">
          <w:rPr>
            <w:noProof/>
            <w:webHidden/>
          </w:rPr>
          <w:fldChar w:fldCharType="end"/>
        </w:r>
      </w:hyperlink>
    </w:p>
    <w:p w14:paraId="3DBA3ED3" w14:textId="3FB113BF"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29" w:history="1">
        <w:r w:rsidR="00A2389F" w:rsidRPr="002779F3">
          <w:rPr>
            <w:rStyle w:val="Hyperlink"/>
            <w:noProof/>
          </w:rPr>
          <w:t>3.2.4</w:t>
        </w:r>
        <w:r w:rsidR="00A2389F">
          <w:rPr>
            <w:rFonts w:eastAsiaTheme="minorEastAsia" w:cstheme="minorBidi"/>
            <w:i w:val="0"/>
            <w:iCs w:val="0"/>
            <w:noProof/>
            <w:sz w:val="22"/>
            <w:szCs w:val="22"/>
            <w:lang w:eastAsia="en-GB" w:bidi="ar-SA"/>
          </w:rPr>
          <w:tab/>
        </w:r>
        <w:r w:rsidR="00A2389F" w:rsidRPr="002779F3">
          <w:rPr>
            <w:rStyle w:val="Hyperlink"/>
            <w:noProof/>
          </w:rPr>
          <w:t>Nutrition information</w:t>
        </w:r>
        <w:r w:rsidR="00A2389F">
          <w:rPr>
            <w:noProof/>
            <w:webHidden/>
          </w:rPr>
          <w:tab/>
        </w:r>
        <w:r w:rsidR="00A2389F">
          <w:rPr>
            <w:noProof/>
            <w:webHidden/>
          </w:rPr>
          <w:fldChar w:fldCharType="begin"/>
        </w:r>
        <w:r w:rsidR="00A2389F">
          <w:rPr>
            <w:noProof/>
            <w:webHidden/>
          </w:rPr>
          <w:instrText xml:space="preserve"> PAGEREF _Toc43128129 \h </w:instrText>
        </w:r>
        <w:r w:rsidR="00A2389F">
          <w:rPr>
            <w:noProof/>
            <w:webHidden/>
          </w:rPr>
        </w:r>
        <w:r w:rsidR="00A2389F">
          <w:rPr>
            <w:noProof/>
            <w:webHidden/>
          </w:rPr>
          <w:fldChar w:fldCharType="separate"/>
        </w:r>
        <w:r w:rsidR="00A2389F">
          <w:rPr>
            <w:noProof/>
            <w:webHidden/>
          </w:rPr>
          <w:t>34</w:t>
        </w:r>
        <w:r w:rsidR="00A2389F">
          <w:rPr>
            <w:noProof/>
            <w:webHidden/>
          </w:rPr>
          <w:fldChar w:fldCharType="end"/>
        </w:r>
      </w:hyperlink>
    </w:p>
    <w:p w14:paraId="2D08EA69" w14:textId="65E40BE9"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30" w:history="1">
        <w:r w:rsidR="00A2389F" w:rsidRPr="002779F3">
          <w:rPr>
            <w:rStyle w:val="Hyperlink"/>
            <w:noProof/>
          </w:rPr>
          <w:t>3.2.5</w:t>
        </w:r>
        <w:r w:rsidR="00A2389F">
          <w:rPr>
            <w:rFonts w:eastAsiaTheme="minorEastAsia" w:cstheme="minorBidi"/>
            <w:i w:val="0"/>
            <w:iCs w:val="0"/>
            <w:noProof/>
            <w:sz w:val="22"/>
            <w:szCs w:val="22"/>
            <w:lang w:eastAsia="en-GB" w:bidi="ar-SA"/>
          </w:rPr>
          <w:tab/>
        </w:r>
        <w:r w:rsidR="00A2389F" w:rsidRPr="002779F3">
          <w:rPr>
            <w:rStyle w:val="Hyperlink"/>
            <w:noProof/>
          </w:rPr>
          <w:t>Nutrition content and health claims</w:t>
        </w:r>
        <w:r w:rsidR="00A2389F">
          <w:rPr>
            <w:noProof/>
            <w:webHidden/>
          </w:rPr>
          <w:tab/>
        </w:r>
        <w:r w:rsidR="00A2389F">
          <w:rPr>
            <w:noProof/>
            <w:webHidden/>
          </w:rPr>
          <w:fldChar w:fldCharType="begin"/>
        </w:r>
        <w:r w:rsidR="00A2389F">
          <w:rPr>
            <w:noProof/>
            <w:webHidden/>
          </w:rPr>
          <w:instrText xml:space="preserve"> PAGEREF _Toc43128130 \h </w:instrText>
        </w:r>
        <w:r w:rsidR="00A2389F">
          <w:rPr>
            <w:noProof/>
            <w:webHidden/>
          </w:rPr>
        </w:r>
        <w:r w:rsidR="00A2389F">
          <w:rPr>
            <w:noProof/>
            <w:webHidden/>
          </w:rPr>
          <w:fldChar w:fldCharType="separate"/>
        </w:r>
        <w:r w:rsidR="00A2389F">
          <w:rPr>
            <w:noProof/>
            <w:webHidden/>
          </w:rPr>
          <w:t>34</w:t>
        </w:r>
        <w:r w:rsidR="00A2389F">
          <w:rPr>
            <w:noProof/>
            <w:webHidden/>
          </w:rPr>
          <w:fldChar w:fldCharType="end"/>
        </w:r>
      </w:hyperlink>
    </w:p>
    <w:p w14:paraId="4A159C1B" w14:textId="630B315F"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31" w:history="1">
        <w:r w:rsidR="00A2389F" w:rsidRPr="002779F3">
          <w:rPr>
            <w:rStyle w:val="Hyperlink"/>
            <w:noProof/>
          </w:rPr>
          <w:t>3.2.6</w:t>
        </w:r>
        <w:r w:rsidR="00A2389F">
          <w:rPr>
            <w:rFonts w:eastAsiaTheme="minorEastAsia" w:cstheme="minorBidi"/>
            <w:i w:val="0"/>
            <w:iCs w:val="0"/>
            <w:noProof/>
            <w:sz w:val="22"/>
            <w:szCs w:val="22"/>
            <w:lang w:eastAsia="en-GB" w:bidi="ar-SA"/>
          </w:rPr>
          <w:tab/>
        </w:r>
        <w:r w:rsidR="00A2389F" w:rsidRPr="002779F3">
          <w:rPr>
            <w:rStyle w:val="Hyperlink"/>
            <w:noProof/>
          </w:rPr>
          <w:t>Representations</w:t>
        </w:r>
        <w:r w:rsidR="00A2389F">
          <w:rPr>
            <w:noProof/>
            <w:webHidden/>
          </w:rPr>
          <w:tab/>
        </w:r>
        <w:r w:rsidR="00A2389F">
          <w:rPr>
            <w:noProof/>
            <w:webHidden/>
          </w:rPr>
          <w:fldChar w:fldCharType="begin"/>
        </w:r>
        <w:r w:rsidR="00A2389F">
          <w:rPr>
            <w:noProof/>
            <w:webHidden/>
          </w:rPr>
          <w:instrText xml:space="preserve"> PAGEREF _Toc43128131 \h </w:instrText>
        </w:r>
        <w:r w:rsidR="00A2389F">
          <w:rPr>
            <w:noProof/>
            <w:webHidden/>
          </w:rPr>
        </w:r>
        <w:r w:rsidR="00A2389F">
          <w:rPr>
            <w:noProof/>
            <w:webHidden/>
          </w:rPr>
          <w:fldChar w:fldCharType="separate"/>
        </w:r>
        <w:r w:rsidR="00A2389F">
          <w:rPr>
            <w:noProof/>
            <w:webHidden/>
          </w:rPr>
          <w:t>35</w:t>
        </w:r>
        <w:r w:rsidR="00A2389F">
          <w:rPr>
            <w:noProof/>
            <w:webHidden/>
          </w:rPr>
          <w:fldChar w:fldCharType="end"/>
        </w:r>
      </w:hyperlink>
    </w:p>
    <w:p w14:paraId="3A12891B" w14:textId="0D9487DE" w:rsidR="00A2389F" w:rsidRDefault="0058654C">
      <w:pPr>
        <w:pStyle w:val="TOC2"/>
        <w:tabs>
          <w:tab w:val="left" w:pos="880"/>
          <w:tab w:val="right" w:leader="dot" w:pos="9060"/>
        </w:tabs>
        <w:rPr>
          <w:rFonts w:eastAsiaTheme="minorEastAsia" w:cstheme="minorBidi"/>
          <w:smallCaps w:val="0"/>
          <w:noProof/>
          <w:sz w:val="22"/>
          <w:szCs w:val="22"/>
          <w:lang w:eastAsia="en-GB" w:bidi="ar-SA"/>
        </w:rPr>
      </w:pPr>
      <w:hyperlink w:anchor="_Toc43128132" w:history="1">
        <w:r w:rsidR="00A2389F" w:rsidRPr="002779F3">
          <w:rPr>
            <w:rStyle w:val="Hyperlink"/>
            <w:noProof/>
            <w:lang w:val="en-AU" w:eastAsia="en-GB"/>
          </w:rPr>
          <w:t>3.3</w:t>
        </w:r>
        <w:r w:rsidR="00A2389F">
          <w:rPr>
            <w:rFonts w:eastAsiaTheme="minorEastAsia" w:cstheme="minorBidi"/>
            <w:smallCaps w:val="0"/>
            <w:noProof/>
            <w:sz w:val="22"/>
            <w:szCs w:val="22"/>
            <w:lang w:eastAsia="en-GB" w:bidi="ar-SA"/>
          </w:rPr>
          <w:tab/>
        </w:r>
        <w:r w:rsidR="00A2389F" w:rsidRPr="002779F3">
          <w:rPr>
            <w:rStyle w:val="Hyperlink"/>
            <w:noProof/>
            <w:lang w:val="en-AU" w:eastAsia="en-GB"/>
          </w:rPr>
          <w:t>Summary of proposed regulatory measures</w:t>
        </w:r>
        <w:r w:rsidR="00A2389F">
          <w:rPr>
            <w:noProof/>
            <w:webHidden/>
          </w:rPr>
          <w:tab/>
        </w:r>
        <w:r w:rsidR="00A2389F">
          <w:rPr>
            <w:noProof/>
            <w:webHidden/>
          </w:rPr>
          <w:fldChar w:fldCharType="begin"/>
        </w:r>
        <w:r w:rsidR="00A2389F">
          <w:rPr>
            <w:noProof/>
            <w:webHidden/>
          </w:rPr>
          <w:instrText xml:space="preserve"> PAGEREF _Toc43128132 \h </w:instrText>
        </w:r>
        <w:r w:rsidR="00A2389F">
          <w:rPr>
            <w:noProof/>
            <w:webHidden/>
          </w:rPr>
        </w:r>
        <w:r w:rsidR="00A2389F">
          <w:rPr>
            <w:noProof/>
            <w:webHidden/>
          </w:rPr>
          <w:fldChar w:fldCharType="separate"/>
        </w:r>
        <w:r w:rsidR="00A2389F">
          <w:rPr>
            <w:noProof/>
            <w:webHidden/>
          </w:rPr>
          <w:t>36</w:t>
        </w:r>
        <w:r w:rsidR="00A2389F">
          <w:rPr>
            <w:noProof/>
            <w:webHidden/>
          </w:rPr>
          <w:fldChar w:fldCharType="end"/>
        </w:r>
      </w:hyperlink>
    </w:p>
    <w:p w14:paraId="7422ADB8" w14:textId="76593935" w:rsidR="00A2389F" w:rsidRDefault="0058654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128133" w:history="1">
        <w:r w:rsidR="00A2389F" w:rsidRPr="002779F3">
          <w:rPr>
            <w:rStyle w:val="Hyperlink"/>
            <w:noProof/>
          </w:rPr>
          <w:t>4</w:t>
        </w:r>
        <w:r w:rsidR="00A2389F">
          <w:rPr>
            <w:rFonts w:eastAsiaTheme="minorEastAsia" w:cstheme="minorBidi"/>
            <w:b w:val="0"/>
            <w:bCs w:val="0"/>
            <w:caps w:val="0"/>
            <w:noProof/>
            <w:sz w:val="22"/>
            <w:szCs w:val="22"/>
            <w:lang w:eastAsia="en-GB" w:bidi="ar-SA"/>
          </w:rPr>
          <w:tab/>
        </w:r>
        <w:r w:rsidR="00A2389F" w:rsidRPr="002779F3">
          <w:rPr>
            <w:rStyle w:val="Hyperlink"/>
            <w:noProof/>
          </w:rPr>
          <w:t>Risk communication</w:t>
        </w:r>
        <w:r w:rsidR="00A2389F">
          <w:rPr>
            <w:noProof/>
            <w:webHidden/>
          </w:rPr>
          <w:tab/>
        </w:r>
        <w:r w:rsidR="00A2389F">
          <w:rPr>
            <w:noProof/>
            <w:webHidden/>
          </w:rPr>
          <w:fldChar w:fldCharType="begin"/>
        </w:r>
        <w:r w:rsidR="00A2389F">
          <w:rPr>
            <w:noProof/>
            <w:webHidden/>
          </w:rPr>
          <w:instrText xml:space="preserve"> PAGEREF _Toc43128133 \h </w:instrText>
        </w:r>
        <w:r w:rsidR="00A2389F">
          <w:rPr>
            <w:noProof/>
            <w:webHidden/>
          </w:rPr>
        </w:r>
        <w:r w:rsidR="00A2389F">
          <w:rPr>
            <w:noProof/>
            <w:webHidden/>
          </w:rPr>
          <w:fldChar w:fldCharType="separate"/>
        </w:r>
        <w:r w:rsidR="00A2389F">
          <w:rPr>
            <w:noProof/>
            <w:webHidden/>
          </w:rPr>
          <w:t>37</w:t>
        </w:r>
        <w:r w:rsidR="00A2389F">
          <w:rPr>
            <w:noProof/>
            <w:webHidden/>
          </w:rPr>
          <w:fldChar w:fldCharType="end"/>
        </w:r>
      </w:hyperlink>
    </w:p>
    <w:p w14:paraId="716F4EAC" w14:textId="21DA4559" w:rsidR="00A2389F" w:rsidRDefault="0058654C">
      <w:pPr>
        <w:pStyle w:val="TOC2"/>
        <w:tabs>
          <w:tab w:val="left" w:pos="880"/>
          <w:tab w:val="right" w:leader="dot" w:pos="9060"/>
        </w:tabs>
        <w:rPr>
          <w:rFonts w:eastAsiaTheme="minorEastAsia" w:cstheme="minorBidi"/>
          <w:smallCaps w:val="0"/>
          <w:noProof/>
          <w:sz w:val="22"/>
          <w:szCs w:val="22"/>
          <w:lang w:eastAsia="en-GB" w:bidi="ar-SA"/>
        </w:rPr>
      </w:pPr>
      <w:hyperlink w:anchor="_Toc43128134" w:history="1">
        <w:r w:rsidR="00A2389F" w:rsidRPr="002779F3">
          <w:rPr>
            <w:rStyle w:val="Hyperlink"/>
            <w:noProof/>
          </w:rPr>
          <w:t>4.1</w:t>
        </w:r>
        <w:r w:rsidR="00A2389F">
          <w:rPr>
            <w:rFonts w:eastAsiaTheme="minorEastAsia" w:cstheme="minorBidi"/>
            <w:smallCaps w:val="0"/>
            <w:noProof/>
            <w:sz w:val="22"/>
            <w:szCs w:val="22"/>
            <w:lang w:eastAsia="en-GB" w:bidi="ar-SA"/>
          </w:rPr>
          <w:tab/>
        </w:r>
        <w:r w:rsidR="00A2389F" w:rsidRPr="002779F3">
          <w:rPr>
            <w:rStyle w:val="Hyperlink"/>
            <w:noProof/>
          </w:rPr>
          <w:t>Consultation</w:t>
        </w:r>
        <w:r w:rsidR="00A2389F">
          <w:rPr>
            <w:noProof/>
            <w:webHidden/>
          </w:rPr>
          <w:tab/>
        </w:r>
        <w:r w:rsidR="00A2389F">
          <w:rPr>
            <w:noProof/>
            <w:webHidden/>
          </w:rPr>
          <w:fldChar w:fldCharType="begin"/>
        </w:r>
        <w:r w:rsidR="00A2389F">
          <w:rPr>
            <w:noProof/>
            <w:webHidden/>
          </w:rPr>
          <w:instrText xml:space="preserve"> PAGEREF _Toc43128134 \h </w:instrText>
        </w:r>
        <w:r w:rsidR="00A2389F">
          <w:rPr>
            <w:noProof/>
            <w:webHidden/>
          </w:rPr>
        </w:r>
        <w:r w:rsidR="00A2389F">
          <w:rPr>
            <w:noProof/>
            <w:webHidden/>
          </w:rPr>
          <w:fldChar w:fldCharType="separate"/>
        </w:r>
        <w:r w:rsidR="00A2389F">
          <w:rPr>
            <w:noProof/>
            <w:webHidden/>
          </w:rPr>
          <w:t>37</w:t>
        </w:r>
        <w:r w:rsidR="00A2389F">
          <w:rPr>
            <w:noProof/>
            <w:webHidden/>
          </w:rPr>
          <w:fldChar w:fldCharType="end"/>
        </w:r>
      </w:hyperlink>
    </w:p>
    <w:p w14:paraId="562A0CCD" w14:textId="02706342" w:rsidR="00A2389F" w:rsidRDefault="0058654C">
      <w:pPr>
        <w:pStyle w:val="TOC3"/>
        <w:tabs>
          <w:tab w:val="left" w:pos="1320"/>
          <w:tab w:val="right" w:leader="dot" w:pos="9060"/>
        </w:tabs>
        <w:rPr>
          <w:rFonts w:eastAsiaTheme="minorEastAsia" w:cstheme="minorBidi"/>
          <w:i w:val="0"/>
          <w:iCs w:val="0"/>
          <w:noProof/>
          <w:sz w:val="22"/>
          <w:szCs w:val="22"/>
          <w:lang w:eastAsia="en-GB" w:bidi="ar-SA"/>
        </w:rPr>
      </w:pPr>
      <w:hyperlink w:anchor="_Toc43128135" w:history="1">
        <w:r w:rsidR="00A2389F" w:rsidRPr="002779F3">
          <w:rPr>
            <w:rStyle w:val="Hyperlink"/>
            <w:noProof/>
          </w:rPr>
          <w:t xml:space="preserve">4.1.1 </w:t>
        </w:r>
        <w:r w:rsidR="00A2389F">
          <w:rPr>
            <w:rFonts w:eastAsiaTheme="minorEastAsia" w:cstheme="minorBidi"/>
            <w:i w:val="0"/>
            <w:iCs w:val="0"/>
            <w:noProof/>
            <w:sz w:val="22"/>
            <w:szCs w:val="22"/>
            <w:lang w:eastAsia="en-GB" w:bidi="ar-SA"/>
          </w:rPr>
          <w:tab/>
        </w:r>
        <w:r w:rsidR="00A2389F" w:rsidRPr="002779F3">
          <w:rPr>
            <w:rStyle w:val="Hyperlink"/>
            <w:noProof/>
          </w:rPr>
          <w:t>Targeted consultation</w:t>
        </w:r>
        <w:r w:rsidR="00A2389F">
          <w:rPr>
            <w:noProof/>
            <w:webHidden/>
          </w:rPr>
          <w:tab/>
        </w:r>
        <w:r w:rsidR="00A2389F">
          <w:rPr>
            <w:noProof/>
            <w:webHidden/>
          </w:rPr>
          <w:fldChar w:fldCharType="begin"/>
        </w:r>
        <w:r w:rsidR="00A2389F">
          <w:rPr>
            <w:noProof/>
            <w:webHidden/>
          </w:rPr>
          <w:instrText xml:space="preserve"> PAGEREF _Toc43128135 \h </w:instrText>
        </w:r>
        <w:r w:rsidR="00A2389F">
          <w:rPr>
            <w:noProof/>
            <w:webHidden/>
          </w:rPr>
        </w:r>
        <w:r w:rsidR="00A2389F">
          <w:rPr>
            <w:noProof/>
            <w:webHidden/>
          </w:rPr>
          <w:fldChar w:fldCharType="separate"/>
        </w:r>
        <w:r w:rsidR="00A2389F">
          <w:rPr>
            <w:noProof/>
            <w:webHidden/>
          </w:rPr>
          <w:t>37</w:t>
        </w:r>
        <w:r w:rsidR="00A2389F">
          <w:rPr>
            <w:noProof/>
            <w:webHidden/>
          </w:rPr>
          <w:fldChar w:fldCharType="end"/>
        </w:r>
      </w:hyperlink>
    </w:p>
    <w:p w14:paraId="2639F91A" w14:textId="2453026F" w:rsidR="00A2389F" w:rsidRDefault="0058654C">
      <w:pPr>
        <w:pStyle w:val="TOC2"/>
        <w:tabs>
          <w:tab w:val="left" w:pos="880"/>
          <w:tab w:val="right" w:leader="dot" w:pos="9060"/>
        </w:tabs>
        <w:rPr>
          <w:rFonts w:eastAsiaTheme="minorEastAsia" w:cstheme="minorBidi"/>
          <w:smallCaps w:val="0"/>
          <w:noProof/>
          <w:sz w:val="22"/>
          <w:szCs w:val="22"/>
          <w:lang w:eastAsia="en-GB" w:bidi="ar-SA"/>
        </w:rPr>
      </w:pPr>
      <w:hyperlink w:anchor="_Toc43128136" w:history="1">
        <w:r w:rsidR="00A2389F" w:rsidRPr="002779F3">
          <w:rPr>
            <w:rStyle w:val="Hyperlink"/>
            <w:noProof/>
          </w:rPr>
          <w:t>4.2</w:t>
        </w:r>
        <w:r w:rsidR="00A2389F">
          <w:rPr>
            <w:rFonts w:eastAsiaTheme="minorEastAsia" w:cstheme="minorBidi"/>
            <w:smallCaps w:val="0"/>
            <w:noProof/>
            <w:sz w:val="22"/>
            <w:szCs w:val="22"/>
            <w:lang w:eastAsia="en-GB" w:bidi="ar-SA"/>
          </w:rPr>
          <w:tab/>
        </w:r>
        <w:r w:rsidR="00A2389F" w:rsidRPr="002779F3">
          <w:rPr>
            <w:rStyle w:val="Hyperlink"/>
            <w:noProof/>
          </w:rPr>
          <w:t>World Trade Organization (WTO)</w:t>
        </w:r>
        <w:r w:rsidR="00A2389F">
          <w:rPr>
            <w:noProof/>
            <w:webHidden/>
          </w:rPr>
          <w:tab/>
        </w:r>
        <w:r w:rsidR="00A2389F">
          <w:rPr>
            <w:noProof/>
            <w:webHidden/>
          </w:rPr>
          <w:fldChar w:fldCharType="begin"/>
        </w:r>
        <w:r w:rsidR="00A2389F">
          <w:rPr>
            <w:noProof/>
            <w:webHidden/>
          </w:rPr>
          <w:instrText xml:space="preserve"> PAGEREF _Toc43128136 \h </w:instrText>
        </w:r>
        <w:r w:rsidR="00A2389F">
          <w:rPr>
            <w:noProof/>
            <w:webHidden/>
          </w:rPr>
        </w:r>
        <w:r w:rsidR="00A2389F">
          <w:rPr>
            <w:noProof/>
            <w:webHidden/>
          </w:rPr>
          <w:fldChar w:fldCharType="separate"/>
        </w:r>
        <w:r w:rsidR="00A2389F">
          <w:rPr>
            <w:noProof/>
            <w:webHidden/>
          </w:rPr>
          <w:t>37</w:t>
        </w:r>
        <w:r w:rsidR="00A2389F">
          <w:rPr>
            <w:noProof/>
            <w:webHidden/>
          </w:rPr>
          <w:fldChar w:fldCharType="end"/>
        </w:r>
      </w:hyperlink>
    </w:p>
    <w:p w14:paraId="1916321D" w14:textId="19193B65" w:rsidR="00A2389F" w:rsidRDefault="0058654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128137" w:history="1">
        <w:r w:rsidR="00A2389F" w:rsidRPr="002779F3">
          <w:rPr>
            <w:rStyle w:val="Hyperlink"/>
            <w:noProof/>
          </w:rPr>
          <w:t>5</w:t>
        </w:r>
        <w:r w:rsidR="00A2389F">
          <w:rPr>
            <w:rFonts w:eastAsiaTheme="minorEastAsia" w:cstheme="minorBidi"/>
            <w:b w:val="0"/>
            <w:bCs w:val="0"/>
            <w:caps w:val="0"/>
            <w:noProof/>
            <w:sz w:val="22"/>
            <w:szCs w:val="22"/>
            <w:lang w:eastAsia="en-GB" w:bidi="ar-SA"/>
          </w:rPr>
          <w:tab/>
        </w:r>
        <w:r w:rsidR="00A2389F" w:rsidRPr="002779F3">
          <w:rPr>
            <w:rStyle w:val="Hyperlink"/>
            <w:noProof/>
          </w:rPr>
          <w:t>FSANZ Act assessment requirements</w:t>
        </w:r>
        <w:r w:rsidR="00A2389F">
          <w:rPr>
            <w:noProof/>
            <w:webHidden/>
          </w:rPr>
          <w:tab/>
        </w:r>
        <w:r w:rsidR="00A2389F">
          <w:rPr>
            <w:noProof/>
            <w:webHidden/>
          </w:rPr>
          <w:fldChar w:fldCharType="begin"/>
        </w:r>
        <w:r w:rsidR="00A2389F">
          <w:rPr>
            <w:noProof/>
            <w:webHidden/>
          </w:rPr>
          <w:instrText xml:space="preserve"> PAGEREF _Toc43128137 \h </w:instrText>
        </w:r>
        <w:r w:rsidR="00A2389F">
          <w:rPr>
            <w:noProof/>
            <w:webHidden/>
          </w:rPr>
        </w:r>
        <w:r w:rsidR="00A2389F">
          <w:rPr>
            <w:noProof/>
            <w:webHidden/>
          </w:rPr>
          <w:fldChar w:fldCharType="separate"/>
        </w:r>
        <w:r w:rsidR="00A2389F">
          <w:rPr>
            <w:noProof/>
            <w:webHidden/>
          </w:rPr>
          <w:t>38</w:t>
        </w:r>
        <w:r w:rsidR="00A2389F">
          <w:rPr>
            <w:noProof/>
            <w:webHidden/>
          </w:rPr>
          <w:fldChar w:fldCharType="end"/>
        </w:r>
      </w:hyperlink>
    </w:p>
    <w:p w14:paraId="038D49F2" w14:textId="479E75CB" w:rsidR="00A2389F" w:rsidRDefault="0058654C">
      <w:pPr>
        <w:pStyle w:val="TOC2"/>
        <w:tabs>
          <w:tab w:val="left" w:pos="880"/>
          <w:tab w:val="right" w:leader="dot" w:pos="9060"/>
        </w:tabs>
        <w:rPr>
          <w:rFonts w:eastAsiaTheme="minorEastAsia" w:cstheme="minorBidi"/>
          <w:smallCaps w:val="0"/>
          <w:noProof/>
          <w:sz w:val="22"/>
          <w:szCs w:val="22"/>
          <w:lang w:eastAsia="en-GB" w:bidi="ar-SA"/>
        </w:rPr>
      </w:pPr>
      <w:hyperlink w:anchor="_Toc43128138" w:history="1">
        <w:r w:rsidR="00A2389F" w:rsidRPr="002779F3">
          <w:rPr>
            <w:rStyle w:val="Hyperlink"/>
            <w:noProof/>
          </w:rPr>
          <w:t>5.1</w:t>
        </w:r>
        <w:r w:rsidR="00A2389F">
          <w:rPr>
            <w:rFonts w:eastAsiaTheme="minorEastAsia" w:cstheme="minorBidi"/>
            <w:smallCaps w:val="0"/>
            <w:noProof/>
            <w:sz w:val="22"/>
            <w:szCs w:val="22"/>
            <w:lang w:eastAsia="en-GB" w:bidi="ar-SA"/>
          </w:rPr>
          <w:tab/>
        </w:r>
        <w:r w:rsidR="00A2389F" w:rsidRPr="002779F3">
          <w:rPr>
            <w:rStyle w:val="Hyperlink"/>
            <w:noProof/>
          </w:rPr>
          <w:t>Section 29</w:t>
        </w:r>
        <w:r w:rsidR="00A2389F">
          <w:rPr>
            <w:noProof/>
            <w:webHidden/>
          </w:rPr>
          <w:tab/>
        </w:r>
        <w:r w:rsidR="00A2389F">
          <w:rPr>
            <w:noProof/>
            <w:webHidden/>
          </w:rPr>
          <w:fldChar w:fldCharType="begin"/>
        </w:r>
        <w:r w:rsidR="00A2389F">
          <w:rPr>
            <w:noProof/>
            <w:webHidden/>
          </w:rPr>
          <w:instrText xml:space="preserve"> PAGEREF _Toc43128138 \h </w:instrText>
        </w:r>
        <w:r w:rsidR="00A2389F">
          <w:rPr>
            <w:noProof/>
            <w:webHidden/>
          </w:rPr>
        </w:r>
        <w:r w:rsidR="00A2389F">
          <w:rPr>
            <w:noProof/>
            <w:webHidden/>
          </w:rPr>
          <w:fldChar w:fldCharType="separate"/>
        </w:r>
        <w:r w:rsidR="00A2389F">
          <w:rPr>
            <w:noProof/>
            <w:webHidden/>
          </w:rPr>
          <w:t>38</w:t>
        </w:r>
        <w:r w:rsidR="00A2389F">
          <w:rPr>
            <w:noProof/>
            <w:webHidden/>
          </w:rPr>
          <w:fldChar w:fldCharType="end"/>
        </w:r>
      </w:hyperlink>
    </w:p>
    <w:p w14:paraId="5E5A805C" w14:textId="3C8CA406"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39" w:history="1">
        <w:r w:rsidR="00A2389F" w:rsidRPr="002779F3">
          <w:rPr>
            <w:rStyle w:val="Hyperlink"/>
            <w:noProof/>
          </w:rPr>
          <w:t>5.1.1</w:t>
        </w:r>
        <w:r w:rsidR="00A2389F">
          <w:rPr>
            <w:rFonts w:eastAsiaTheme="minorEastAsia" w:cstheme="minorBidi"/>
            <w:i w:val="0"/>
            <w:iCs w:val="0"/>
            <w:noProof/>
            <w:sz w:val="22"/>
            <w:szCs w:val="22"/>
            <w:lang w:eastAsia="en-GB" w:bidi="ar-SA"/>
          </w:rPr>
          <w:tab/>
        </w:r>
        <w:r w:rsidR="00A2389F" w:rsidRPr="002779F3">
          <w:rPr>
            <w:rStyle w:val="Hyperlink"/>
            <w:noProof/>
          </w:rPr>
          <w:t>Consideration of costs and benefits</w:t>
        </w:r>
        <w:r w:rsidR="00A2389F">
          <w:rPr>
            <w:noProof/>
            <w:webHidden/>
          </w:rPr>
          <w:tab/>
        </w:r>
        <w:r w:rsidR="00A2389F">
          <w:rPr>
            <w:noProof/>
            <w:webHidden/>
          </w:rPr>
          <w:fldChar w:fldCharType="begin"/>
        </w:r>
        <w:r w:rsidR="00A2389F">
          <w:rPr>
            <w:noProof/>
            <w:webHidden/>
          </w:rPr>
          <w:instrText xml:space="preserve"> PAGEREF _Toc43128139 \h </w:instrText>
        </w:r>
        <w:r w:rsidR="00A2389F">
          <w:rPr>
            <w:noProof/>
            <w:webHidden/>
          </w:rPr>
        </w:r>
        <w:r w:rsidR="00A2389F">
          <w:rPr>
            <w:noProof/>
            <w:webHidden/>
          </w:rPr>
          <w:fldChar w:fldCharType="separate"/>
        </w:r>
        <w:r w:rsidR="00A2389F">
          <w:rPr>
            <w:noProof/>
            <w:webHidden/>
          </w:rPr>
          <w:t>38</w:t>
        </w:r>
        <w:r w:rsidR="00A2389F">
          <w:rPr>
            <w:noProof/>
            <w:webHidden/>
          </w:rPr>
          <w:fldChar w:fldCharType="end"/>
        </w:r>
      </w:hyperlink>
    </w:p>
    <w:p w14:paraId="50FB3325" w14:textId="3B32C15A"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40" w:history="1">
        <w:r w:rsidR="00A2389F" w:rsidRPr="002779F3">
          <w:rPr>
            <w:rStyle w:val="Hyperlink"/>
            <w:noProof/>
          </w:rPr>
          <w:t>5.1.2</w:t>
        </w:r>
        <w:r w:rsidR="00A2389F">
          <w:rPr>
            <w:rFonts w:eastAsiaTheme="minorEastAsia" w:cstheme="minorBidi"/>
            <w:i w:val="0"/>
            <w:iCs w:val="0"/>
            <w:noProof/>
            <w:sz w:val="22"/>
            <w:szCs w:val="22"/>
            <w:lang w:eastAsia="en-GB" w:bidi="ar-SA"/>
          </w:rPr>
          <w:tab/>
        </w:r>
        <w:r w:rsidR="00A2389F" w:rsidRPr="002779F3">
          <w:rPr>
            <w:rStyle w:val="Hyperlink"/>
            <w:noProof/>
          </w:rPr>
          <w:t>Conclusions from cost benefit considerations</w:t>
        </w:r>
        <w:r w:rsidR="00A2389F">
          <w:rPr>
            <w:noProof/>
            <w:webHidden/>
          </w:rPr>
          <w:tab/>
        </w:r>
        <w:r w:rsidR="00A2389F">
          <w:rPr>
            <w:noProof/>
            <w:webHidden/>
          </w:rPr>
          <w:fldChar w:fldCharType="begin"/>
        </w:r>
        <w:r w:rsidR="00A2389F">
          <w:rPr>
            <w:noProof/>
            <w:webHidden/>
          </w:rPr>
          <w:instrText xml:space="preserve"> PAGEREF _Toc43128140 \h </w:instrText>
        </w:r>
        <w:r w:rsidR="00A2389F">
          <w:rPr>
            <w:noProof/>
            <w:webHidden/>
          </w:rPr>
        </w:r>
        <w:r w:rsidR="00A2389F">
          <w:rPr>
            <w:noProof/>
            <w:webHidden/>
          </w:rPr>
          <w:fldChar w:fldCharType="separate"/>
        </w:r>
        <w:r w:rsidR="00A2389F">
          <w:rPr>
            <w:noProof/>
            <w:webHidden/>
          </w:rPr>
          <w:t>39</w:t>
        </w:r>
        <w:r w:rsidR="00A2389F">
          <w:rPr>
            <w:noProof/>
            <w:webHidden/>
          </w:rPr>
          <w:fldChar w:fldCharType="end"/>
        </w:r>
      </w:hyperlink>
    </w:p>
    <w:p w14:paraId="4FE5F798" w14:textId="2103FE03"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41" w:history="1">
        <w:r w:rsidR="00A2389F" w:rsidRPr="002779F3">
          <w:rPr>
            <w:rStyle w:val="Hyperlink"/>
            <w:noProof/>
          </w:rPr>
          <w:t>5.1.3</w:t>
        </w:r>
        <w:r w:rsidR="00A2389F">
          <w:rPr>
            <w:rFonts w:eastAsiaTheme="minorEastAsia" w:cstheme="minorBidi"/>
            <w:i w:val="0"/>
            <w:iCs w:val="0"/>
            <w:noProof/>
            <w:sz w:val="22"/>
            <w:szCs w:val="22"/>
            <w:lang w:eastAsia="en-GB" w:bidi="ar-SA"/>
          </w:rPr>
          <w:tab/>
        </w:r>
        <w:r w:rsidR="00A2389F" w:rsidRPr="002779F3">
          <w:rPr>
            <w:rStyle w:val="Hyperlink"/>
            <w:noProof/>
          </w:rPr>
          <w:t>Other measures</w:t>
        </w:r>
        <w:r w:rsidR="00A2389F">
          <w:rPr>
            <w:noProof/>
            <w:webHidden/>
          </w:rPr>
          <w:tab/>
        </w:r>
        <w:r w:rsidR="00A2389F">
          <w:rPr>
            <w:noProof/>
            <w:webHidden/>
          </w:rPr>
          <w:fldChar w:fldCharType="begin"/>
        </w:r>
        <w:r w:rsidR="00A2389F">
          <w:rPr>
            <w:noProof/>
            <w:webHidden/>
          </w:rPr>
          <w:instrText xml:space="preserve"> PAGEREF _Toc43128141 \h </w:instrText>
        </w:r>
        <w:r w:rsidR="00A2389F">
          <w:rPr>
            <w:noProof/>
            <w:webHidden/>
          </w:rPr>
        </w:r>
        <w:r w:rsidR="00A2389F">
          <w:rPr>
            <w:noProof/>
            <w:webHidden/>
          </w:rPr>
          <w:fldChar w:fldCharType="separate"/>
        </w:r>
        <w:r w:rsidR="00A2389F">
          <w:rPr>
            <w:noProof/>
            <w:webHidden/>
          </w:rPr>
          <w:t>40</w:t>
        </w:r>
        <w:r w:rsidR="00A2389F">
          <w:rPr>
            <w:noProof/>
            <w:webHidden/>
          </w:rPr>
          <w:fldChar w:fldCharType="end"/>
        </w:r>
      </w:hyperlink>
    </w:p>
    <w:p w14:paraId="4458644D" w14:textId="52E40098"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42" w:history="1">
        <w:r w:rsidR="00A2389F" w:rsidRPr="002779F3">
          <w:rPr>
            <w:rStyle w:val="Hyperlink"/>
            <w:noProof/>
          </w:rPr>
          <w:t>5.1.4</w:t>
        </w:r>
        <w:r w:rsidR="00A2389F">
          <w:rPr>
            <w:rFonts w:eastAsiaTheme="minorEastAsia" w:cstheme="minorBidi"/>
            <w:i w:val="0"/>
            <w:iCs w:val="0"/>
            <w:noProof/>
            <w:sz w:val="22"/>
            <w:szCs w:val="22"/>
            <w:lang w:eastAsia="en-GB" w:bidi="ar-SA"/>
          </w:rPr>
          <w:tab/>
        </w:r>
        <w:r w:rsidR="00A2389F" w:rsidRPr="002779F3">
          <w:rPr>
            <w:rStyle w:val="Hyperlink"/>
            <w:noProof/>
          </w:rPr>
          <w:t>Any relevant New Zealand standards</w:t>
        </w:r>
        <w:r w:rsidR="00A2389F">
          <w:rPr>
            <w:noProof/>
            <w:webHidden/>
          </w:rPr>
          <w:tab/>
        </w:r>
        <w:r w:rsidR="00A2389F">
          <w:rPr>
            <w:noProof/>
            <w:webHidden/>
          </w:rPr>
          <w:fldChar w:fldCharType="begin"/>
        </w:r>
        <w:r w:rsidR="00A2389F">
          <w:rPr>
            <w:noProof/>
            <w:webHidden/>
          </w:rPr>
          <w:instrText xml:space="preserve"> PAGEREF _Toc43128142 \h </w:instrText>
        </w:r>
        <w:r w:rsidR="00A2389F">
          <w:rPr>
            <w:noProof/>
            <w:webHidden/>
          </w:rPr>
        </w:r>
        <w:r w:rsidR="00A2389F">
          <w:rPr>
            <w:noProof/>
            <w:webHidden/>
          </w:rPr>
          <w:fldChar w:fldCharType="separate"/>
        </w:r>
        <w:r w:rsidR="00A2389F">
          <w:rPr>
            <w:noProof/>
            <w:webHidden/>
          </w:rPr>
          <w:t>40</w:t>
        </w:r>
        <w:r w:rsidR="00A2389F">
          <w:rPr>
            <w:noProof/>
            <w:webHidden/>
          </w:rPr>
          <w:fldChar w:fldCharType="end"/>
        </w:r>
      </w:hyperlink>
    </w:p>
    <w:p w14:paraId="0E0CAEE6" w14:textId="38492EED"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43" w:history="1">
        <w:r w:rsidR="00A2389F" w:rsidRPr="002779F3">
          <w:rPr>
            <w:rStyle w:val="Hyperlink"/>
            <w:noProof/>
          </w:rPr>
          <w:t>5.1.5</w:t>
        </w:r>
        <w:r w:rsidR="00A2389F">
          <w:rPr>
            <w:rFonts w:eastAsiaTheme="minorEastAsia" w:cstheme="minorBidi"/>
            <w:i w:val="0"/>
            <w:iCs w:val="0"/>
            <w:noProof/>
            <w:sz w:val="22"/>
            <w:szCs w:val="22"/>
            <w:lang w:eastAsia="en-GB" w:bidi="ar-SA"/>
          </w:rPr>
          <w:tab/>
        </w:r>
        <w:r w:rsidR="00A2389F" w:rsidRPr="002779F3">
          <w:rPr>
            <w:rStyle w:val="Hyperlink"/>
            <w:noProof/>
          </w:rPr>
          <w:t>Any other relevant matters</w:t>
        </w:r>
        <w:r w:rsidR="00A2389F">
          <w:rPr>
            <w:noProof/>
            <w:webHidden/>
          </w:rPr>
          <w:tab/>
        </w:r>
        <w:r w:rsidR="00A2389F">
          <w:rPr>
            <w:noProof/>
            <w:webHidden/>
          </w:rPr>
          <w:fldChar w:fldCharType="begin"/>
        </w:r>
        <w:r w:rsidR="00A2389F">
          <w:rPr>
            <w:noProof/>
            <w:webHidden/>
          </w:rPr>
          <w:instrText xml:space="preserve"> PAGEREF _Toc43128143 \h </w:instrText>
        </w:r>
        <w:r w:rsidR="00A2389F">
          <w:rPr>
            <w:noProof/>
            <w:webHidden/>
          </w:rPr>
        </w:r>
        <w:r w:rsidR="00A2389F">
          <w:rPr>
            <w:noProof/>
            <w:webHidden/>
          </w:rPr>
          <w:fldChar w:fldCharType="separate"/>
        </w:r>
        <w:r w:rsidR="00A2389F">
          <w:rPr>
            <w:noProof/>
            <w:webHidden/>
          </w:rPr>
          <w:t>40</w:t>
        </w:r>
        <w:r w:rsidR="00A2389F">
          <w:rPr>
            <w:noProof/>
            <w:webHidden/>
          </w:rPr>
          <w:fldChar w:fldCharType="end"/>
        </w:r>
      </w:hyperlink>
    </w:p>
    <w:p w14:paraId="179E67A0" w14:textId="6E7BE3D5" w:rsidR="00A2389F" w:rsidRDefault="0058654C">
      <w:pPr>
        <w:pStyle w:val="TOC2"/>
        <w:tabs>
          <w:tab w:val="left" w:pos="880"/>
          <w:tab w:val="right" w:leader="dot" w:pos="9060"/>
        </w:tabs>
        <w:rPr>
          <w:rFonts w:eastAsiaTheme="minorEastAsia" w:cstheme="minorBidi"/>
          <w:smallCaps w:val="0"/>
          <w:noProof/>
          <w:sz w:val="22"/>
          <w:szCs w:val="22"/>
          <w:lang w:eastAsia="en-GB" w:bidi="ar-SA"/>
        </w:rPr>
      </w:pPr>
      <w:hyperlink w:anchor="_Toc43128144" w:history="1">
        <w:r w:rsidR="00A2389F" w:rsidRPr="002779F3">
          <w:rPr>
            <w:rStyle w:val="Hyperlink"/>
            <w:noProof/>
          </w:rPr>
          <w:t>5.2</w:t>
        </w:r>
        <w:r w:rsidR="00A2389F">
          <w:rPr>
            <w:rFonts w:eastAsiaTheme="minorEastAsia" w:cstheme="minorBidi"/>
            <w:smallCaps w:val="0"/>
            <w:noProof/>
            <w:sz w:val="22"/>
            <w:szCs w:val="22"/>
            <w:lang w:eastAsia="en-GB" w:bidi="ar-SA"/>
          </w:rPr>
          <w:tab/>
        </w:r>
        <w:r w:rsidR="00A2389F" w:rsidRPr="002779F3">
          <w:rPr>
            <w:rStyle w:val="Hyperlink"/>
            <w:noProof/>
          </w:rPr>
          <w:t>Subsection 18(1)</w:t>
        </w:r>
        <w:r w:rsidR="00A2389F">
          <w:rPr>
            <w:noProof/>
            <w:webHidden/>
          </w:rPr>
          <w:tab/>
        </w:r>
        <w:r w:rsidR="00A2389F">
          <w:rPr>
            <w:noProof/>
            <w:webHidden/>
          </w:rPr>
          <w:fldChar w:fldCharType="begin"/>
        </w:r>
        <w:r w:rsidR="00A2389F">
          <w:rPr>
            <w:noProof/>
            <w:webHidden/>
          </w:rPr>
          <w:instrText xml:space="preserve"> PAGEREF _Toc43128144 \h </w:instrText>
        </w:r>
        <w:r w:rsidR="00A2389F">
          <w:rPr>
            <w:noProof/>
            <w:webHidden/>
          </w:rPr>
        </w:r>
        <w:r w:rsidR="00A2389F">
          <w:rPr>
            <w:noProof/>
            <w:webHidden/>
          </w:rPr>
          <w:fldChar w:fldCharType="separate"/>
        </w:r>
        <w:r w:rsidR="00A2389F">
          <w:rPr>
            <w:noProof/>
            <w:webHidden/>
          </w:rPr>
          <w:t>40</w:t>
        </w:r>
        <w:r w:rsidR="00A2389F">
          <w:rPr>
            <w:noProof/>
            <w:webHidden/>
          </w:rPr>
          <w:fldChar w:fldCharType="end"/>
        </w:r>
      </w:hyperlink>
    </w:p>
    <w:p w14:paraId="32FA3633" w14:textId="7961722F"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45" w:history="1">
        <w:r w:rsidR="00A2389F" w:rsidRPr="002779F3">
          <w:rPr>
            <w:rStyle w:val="Hyperlink"/>
            <w:noProof/>
          </w:rPr>
          <w:t>5.2.1</w:t>
        </w:r>
        <w:r w:rsidR="00A2389F">
          <w:rPr>
            <w:rFonts w:eastAsiaTheme="minorEastAsia" w:cstheme="minorBidi"/>
            <w:i w:val="0"/>
            <w:iCs w:val="0"/>
            <w:noProof/>
            <w:sz w:val="22"/>
            <w:szCs w:val="22"/>
            <w:lang w:eastAsia="en-GB" w:bidi="ar-SA"/>
          </w:rPr>
          <w:tab/>
        </w:r>
        <w:r w:rsidR="00A2389F" w:rsidRPr="002779F3">
          <w:rPr>
            <w:rStyle w:val="Hyperlink"/>
            <w:noProof/>
          </w:rPr>
          <w:t>Protection of public health and safety</w:t>
        </w:r>
        <w:r w:rsidR="00A2389F">
          <w:rPr>
            <w:noProof/>
            <w:webHidden/>
          </w:rPr>
          <w:tab/>
        </w:r>
        <w:r w:rsidR="00A2389F">
          <w:rPr>
            <w:noProof/>
            <w:webHidden/>
          </w:rPr>
          <w:fldChar w:fldCharType="begin"/>
        </w:r>
        <w:r w:rsidR="00A2389F">
          <w:rPr>
            <w:noProof/>
            <w:webHidden/>
          </w:rPr>
          <w:instrText xml:space="preserve"> PAGEREF _Toc43128145 \h </w:instrText>
        </w:r>
        <w:r w:rsidR="00A2389F">
          <w:rPr>
            <w:noProof/>
            <w:webHidden/>
          </w:rPr>
        </w:r>
        <w:r w:rsidR="00A2389F">
          <w:rPr>
            <w:noProof/>
            <w:webHidden/>
          </w:rPr>
          <w:fldChar w:fldCharType="separate"/>
        </w:r>
        <w:r w:rsidR="00A2389F">
          <w:rPr>
            <w:noProof/>
            <w:webHidden/>
          </w:rPr>
          <w:t>40</w:t>
        </w:r>
        <w:r w:rsidR="00A2389F">
          <w:rPr>
            <w:noProof/>
            <w:webHidden/>
          </w:rPr>
          <w:fldChar w:fldCharType="end"/>
        </w:r>
      </w:hyperlink>
    </w:p>
    <w:p w14:paraId="43FE0A89" w14:textId="5801CDF7"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46" w:history="1">
        <w:r w:rsidR="00A2389F" w:rsidRPr="002779F3">
          <w:rPr>
            <w:rStyle w:val="Hyperlink"/>
            <w:noProof/>
          </w:rPr>
          <w:t>5.2.2</w:t>
        </w:r>
        <w:r w:rsidR="00A2389F">
          <w:rPr>
            <w:rFonts w:eastAsiaTheme="minorEastAsia" w:cstheme="minorBidi"/>
            <w:i w:val="0"/>
            <w:iCs w:val="0"/>
            <w:noProof/>
            <w:sz w:val="22"/>
            <w:szCs w:val="22"/>
            <w:lang w:eastAsia="en-GB" w:bidi="ar-SA"/>
          </w:rPr>
          <w:tab/>
        </w:r>
        <w:r w:rsidR="00A2389F" w:rsidRPr="002779F3">
          <w:rPr>
            <w:rStyle w:val="Hyperlink"/>
            <w:noProof/>
          </w:rPr>
          <w:t>The provision of adequate information relating to food to enable consumers to make informed choices</w:t>
        </w:r>
        <w:r w:rsidR="00A2389F">
          <w:rPr>
            <w:noProof/>
            <w:webHidden/>
          </w:rPr>
          <w:tab/>
        </w:r>
        <w:r w:rsidR="00A2389F">
          <w:rPr>
            <w:noProof/>
            <w:webHidden/>
          </w:rPr>
          <w:fldChar w:fldCharType="begin"/>
        </w:r>
        <w:r w:rsidR="00A2389F">
          <w:rPr>
            <w:noProof/>
            <w:webHidden/>
          </w:rPr>
          <w:instrText xml:space="preserve"> PAGEREF _Toc43128146 \h </w:instrText>
        </w:r>
        <w:r w:rsidR="00A2389F">
          <w:rPr>
            <w:noProof/>
            <w:webHidden/>
          </w:rPr>
        </w:r>
        <w:r w:rsidR="00A2389F">
          <w:rPr>
            <w:noProof/>
            <w:webHidden/>
          </w:rPr>
          <w:fldChar w:fldCharType="separate"/>
        </w:r>
        <w:r w:rsidR="00A2389F">
          <w:rPr>
            <w:noProof/>
            <w:webHidden/>
          </w:rPr>
          <w:t>40</w:t>
        </w:r>
        <w:r w:rsidR="00A2389F">
          <w:rPr>
            <w:noProof/>
            <w:webHidden/>
          </w:rPr>
          <w:fldChar w:fldCharType="end"/>
        </w:r>
      </w:hyperlink>
    </w:p>
    <w:p w14:paraId="03E6F29B" w14:textId="1C95C69A" w:rsidR="00A2389F" w:rsidRDefault="0058654C">
      <w:pPr>
        <w:pStyle w:val="TOC3"/>
        <w:tabs>
          <w:tab w:val="left" w:pos="1100"/>
          <w:tab w:val="right" w:leader="dot" w:pos="9060"/>
        </w:tabs>
        <w:rPr>
          <w:rFonts w:eastAsiaTheme="minorEastAsia" w:cstheme="minorBidi"/>
          <w:i w:val="0"/>
          <w:iCs w:val="0"/>
          <w:noProof/>
          <w:sz w:val="22"/>
          <w:szCs w:val="22"/>
          <w:lang w:eastAsia="en-GB" w:bidi="ar-SA"/>
        </w:rPr>
      </w:pPr>
      <w:hyperlink w:anchor="_Toc43128147" w:history="1">
        <w:r w:rsidR="00A2389F" w:rsidRPr="002779F3">
          <w:rPr>
            <w:rStyle w:val="Hyperlink"/>
            <w:noProof/>
          </w:rPr>
          <w:t>5.2.3</w:t>
        </w:r>
        <w:r w:rsidR="00A2389F">
          <w:rPr>
            <w:rFonts w:eastAsiaTheme="minorEastAsia" w:cstheme="minorBidi"/>
            <w:i w:val="0"/>
            <w:iCs w:val="0"/>
            <w:noProof/>
            <w:sz w:val="22"/>
            <w:szCs w:val="22"/>
            <w:lang w:eastAsia="en-GB" w:bidi="ar-SA"/>
          </w:rPr>
          <w:tab/>
        </w:r>
        <w:r w:rsidR="00A2389F" w:rsidRPr="002779F3">
          <w:rPr>
            <w:rStyle w:val="Hyperlink"/>
            <w:noProof/>
          </w:rPr>
          <w:t>The prevention of misleading or deceptive conduct</w:t>
        </w:r>
        <w:r w:rsidR="00A2389F">
          <w:rPr>
            <w:noProof/>
            <w:webHidden/>
          </w:rPr>
          <w:tab/>
        </w:r>
        <w:r w:rsidR="00A2389F">
          <w:rPr>
            <w:noProof/>
            <w:webHidden/>
          </w:rPr>
          <w:fldChar w:fldCharType="begin"/>
        </w:r>
        <w:r w:rsidR="00A2389F">
          <w:rPr>
            <w:noProof/>
            <w:webHidden/>
          </w:rPr>
          <w:instrText xml:space="preserve"> PAGEREF _Toc43128147 \h </w:instrText>
        </w:r>
        <w:r w:rsidR="00A2389F">
          <w:rPr>
            <w:noProof/>
            <w:webHidden/>
          </w:rPr>
        </w:r>
        <w:r w:rsidR="00A2389F">
          <w:rPr>
            <w:noProof/>
            <w:webHidden/>
          </w:rPr>
          <w:fldChar w:fldCharType="separate"/>
        </w:r>
        <w:r w:rsidR="00A2389F">
          <w:rPr>
            <w:noProof/>
            <w:webHidden/>
          </w:rPr>
          <w:t>40</w:t>
        </w:r>
        <w:r w:rsidR="00A2389F">
          <w:rPr>
            <w:noProof/>
            <w:webHidden/>
          </w:rPr>
          <w:fldChar w:fldCharType="end"/>
        </w:r>
      </w:hyperlink>
    </w:p>
    <w:p w14:paraId="4DF5C6B3" w14:textId="4975B8CB" w:rsidR="00A2389F" w:rsidRDefault="0058654C">
      <w:pPr>
        <w:pStyle w:val="TOC2"/>
        <w:tabs>
          <w:tab w:val="left" w:pos="880"/>
          <w:tab w:val="right" w:leader="dot" w:pos="9060"/>
        </w:tabs>
        <w:rPr>
          <w:rFonts w:eastAsiaTheme="minorEastAsia" w:cstheme="minorBidi"/>
          <w:smallCaps w:val="0"/>
          <w:noProof/>
          <w:sz w:val="22"/>
          <w:szCs w:val="22"/>
          <w:lang w:eastAsia="en-GB" w:bidi="ar-SA"/>
        </w:rPr>
      </w:pPr>
      <w:hyperlink w:anchor="_Toc43128148" w:history="1">
        <w:r w:rsidR="00A2389F" w:rsidRPr="002779F3">
          <w:rPr>
            <w:rStyle w:val="Hyperlink"/>
            <w:noProof/>
          </w:rPr>
          <w:t>5.3</w:t>
        </w:r>
        <w:r w:rsidR="00A2389F">
          <w:rPr>
            <w:rFonts w:eastAsiaTheme="minorEastAsia" w:cstheme="minorBidi"/>
            <w:smallCaps w:val="0"/>
            <w:noProof/>
            <w:sz w:val="22"/>
            <w:szCs w:val="22"/>
            <w:lang w:eastAsia="en-GB" w:bidi="ar-SA"/>
          </w:rPr>
          <w:tab/>
        </w:r>
        <w:r w:rsidR="00A2389F" w:rsidRPr="002779F3">
          <w:rPr>
            <w:rStyle w:val="Hyperlink"/>
            <w:noProof/>
          </w:rPr>
          <w:t>Subsection 18(2) considerations</w:t>
        </w:r>
        <w:r w:rsidR="00A2389F">
          <w:rPr>
            <w:noProof/>
            <w:webHidden/>
          </w:rPr>
          <w:tab/>
        </w:r>
        <w:r w:rsidR="00A2389F">
          <w:rPr>
            <w:noProof/>
            <w:webHidden/>
          </w:rPr>
          <w:fldChar w:fldCharType="begin"/>
        </w:r>
        <w:r w:rsidR="00A2389F">
          <w:rPr>
            <w:noProof/>
            <w:webHidden/>
          </w:rPr>
          <w:instrText xml:space="preserve"> PAGEREF _Toc43128148 \h </w:instrText>
        </w:r>
        <w:r w:rsidR="00A2389F">
          <w:rPr>
            <w:noProof/>
            <w:webHidden/>
          </w:rPr>
        </w:r>
        <w:r w:rsidR="00A2389F">
          <w:rPr>
            <w:noProof/>
            <w:webHidden/>
          </w:rPr>
          <w:fldChar w:fldCharType="separate"/>
        </w:r>
        <w:r w:rsidR="00A2389F">
          <w:rPr>
            <w:noProof/>
            <w:webHidden/>
          </w:rPr>
          <w:t>40</w:t>
        </w:r>
        <w:r w:rsidR="00A2389F">
          <w:rPr>
            <w:noProof/>
            <w:webHidden/>
          </w:rPr>
          <w:fldChar w:fldCharType="end"/>
        </w:r>
      </w:hyperlink>
    </w:p>
    <w:p w14:paraId="68D4A92D" w14:textId="3571DCDE" w:rsidR="00A2389F" w:rsidRDefault="0058654C">
      <w:pPr>
        <w:pStyle w:val="TOC2"/>
        <w:tabs>
          <w:tab w:val="left" w:pos="880"/>
          <w:tab w:val="right" w:leader="dot" w:pos="9060"/>
        </w:tabs>
        <w:rPr>
          <w:rFonts w:eastAsiaTheme="minorEastAsia" w:cstheme="minorBidi"/>
          <w:smallCaps w:val="0"/>
          <w:noProof/>
          <w:sz w:val="22"/>
          <w:szCs w:val="22"/>
          <w:lang w:eastAsia="en-GB" w:bidi="ar-SA"/>
        </w:rPr>
      </w:pPr>
      <w:hyperlink w:anchor="_Toc43128149" w:history="1">
        <w:r w:rsidR="00A2389F" w:rsidRPr="002779F3">
          <w:rPr>
            <w:rStyle w:val="Hyperlink"/>
            <w:noProof/>
          </w:rPr>
          <w:t>5.4</w:t>
        </w:r>
        <w:r w:rsidR="00A2389F">
          <w:rPr>
            <w:rFonts w:eastAsiaTheme="minorEastAsia" w:cstheme="minorBidi"/>
            <w:smallCaps w:val="0"/>
            <w:noProof/>
            <w:sz w:val="22"/>
            <w:szCs w:val="22"/>
            <w:lang w:eastAsia="en-GB" w:bidi="ar-SA"/>
          </w:rPr>
          <w:tab/>
        </w:r>
        <w:r w:rsidR="00A2389F" w:rsidRPr="002779F3">
          <w:rPr>
            <w:rStyle w:val="Hyperlink"/>
            <w:noProof/>
          </w:rPr>
          <w:t>Conclusion</w:t>
        </w:r>
        <w:r w:rsidR="00A2389F">
          <w:rPr>
            <w:noProof/>
            <w:webHidden/>
          </w:rPr>
          <w:tab/>
        </w:r>
        <w:r w:rsidR="00A2389F">
          <w:rPr>
            <w:noProof/>
            <w:webHidden/>
          </w:rPr>
          <w:fldChar w:fldCharType="begin"/>
        </w:r>
        <w:r w:rsidR="00A2389F">
          <w:rPr>
            <w:noProof/>
            <w:webHidden/>
          </w:rPr>
          <w:instrText xml:space="preserve"> PAGEREF _Toc43128149 \h </w:instrText>
        </w:r>
        <w:r w:rsidR="00A2389F">
          <w:rPr>
            <w:noProof/>
            <w:webHidden/>
          </w:rPr>
        </w:r>
        <w:r w:rsidR="00A2389F">
          <w:rPr>
            <w:noProof/>
            <w:webHidden/>
          </w:rPr>
          <w:fldChar w:fldCharType="separate"/>
        </w:r>
        <w:r w:rsidR="00A2389F">
          <w:rPr>
            <w:noProof/>
            <w:webHidden/>
          </w:rPr>
          <w:t>41</w:t>
        </w:r>
        <w:r w:rsidR="00A2389F">
          <w:rPr>
            <w:noProof/>
            <w:webHidden/>
          </w:rPr>
          <w:fldChar w:fldCharType="end"/>
        </w:r>
      </w:hyperlink>
    </w:p>
    <w:p w14:paraId="416B0F9F" w14:textId="42118F82" w:rsidR="00A2389F" w:rsidRDefault="0058654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128150" w:history="1">
        <w:r w:rsidR="00A2389F" w:rsidRPr="002779F3">
          <w:rPr>
            <w:rStyle w:val="Hyperlink"/>
            <w:noProof/>
          </w:rPr>
          <w:t>6</w:t>
        </w:r>
        <w:r w:rsidR="00A2389F">
          <w:rPr>
            <w:rFonts w:eastAsiaTheme="minorEastAsia" w:cstheme="minorBidi"/>
            <w:b w:val="0"/>
            <w:bCs w:val="0"/>
            <w:caps w:val="0"/>
            <w:noProof/>
            <w:sz w:val="22"/>
            <w:szCs w:val="22"/>
            <w:lang w:eastAsia="en-GB" w:bidi="ar-SA"/>
          </w:rPr>
          <w:tab/>
        </w:r>
        <w:r w:rsidR="00A2389F" w:rsidRPr="002779F3">
          <w:rPr>
            <w:rStyle w:val="Hyperlink"/>
            <w:noProof/>
          </w:rPr>
          <w:t>Draft variation</w:t>
        </w:r>
        <w:r w:rsidR="00A2389F">
          <w:rPr>
            <w:noProof/>
            <w:webHidden/>
          </w:rPr>
          <w:tab/>
        </w:r>
        <w:r w:rsidR="00A2389F">
          <w:rPr>
            <w:noProof/>
            <w:webHidden/>
          </w:rPr>
          <w:fldChar w:fldCharType="begin"/>
        </w:r>
        <w:r w:rsidR="00A2389F">
          <w:rPr>
            <w:noProof/>
            <w:webHidden/>
          </w:rPr>
          <w:instrText xml:space="preserve"> PAGEREF _Toc43128150 \h </w:instrText>
        </w:r>
        <w:r w:rsidR="00A2389F">
          <w:rPr>
            <w:noProof/>
            <w:webHidden/>
          </w:rPr>
        </w:r>
        <w:r w:rsidR="00A2389F">
          <w:rPr>
            <w:noProof/>
            <w:webHidden/>
          </w:rPr>
          <w:fldChar w:fldCharType="separate"/>
        </w:r>
        <w:r w:rsidR="00A2389F">
          <w:rPr>
            <w:noProof/>
            <w:webHidden/>
          </w:rPr>
          <w:t>42</w:t>
        </w:r>
        <w:r w:rsidR="00A2389F">
          <w:rPr>
            <w:noProof/>
            <w:webHidden/>
          </w:rPr>
          <w:fldChar w:fldCharType="end"/>
        </w:r>
      </w:hyperlink>
    </w:p>
    <w:p w14:paraId="43430C4C" w14:textId="64BD2077" w:rsidR="00A2389F" w:rsidRDefault="0058654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128151" w:history="1">
        <w:r w:rsidR="00A2389F" w:rsidRPr="002779F3">
          <w:rPr>
            <w:rStyle w:val="Hyperlink"/>
            <w:noProof/>
          </w:rPr>
          <w:t>7</w:t>
        </w:r>
        <w:r w:rsidR="00A2389F">
          <w:rPr>
            <w:rFonts w:eastAsiaTheme="minorEastAsia" w:cstheme="minorBidi"/>
            <w:b w:val="0"/>
            <w:bCs w:val="0"/>
            <w:caps w:val="0"/>
            <w:noProof/>
            <w:sz w:val="22"/>
            <w:szCs w:val="22"/>
            <w:lang w:eastAsia="en-GB" w:bidi="ar-SA"/>
          </w:rPr>
          <w:tab/>
        </w:r>
        <w:r w:rsidR="00A2389F" w:rsidRPr="002779F3">
          <w:rPr>
            <w:rStyle w:val="Hyperlink"/>
            <w:noProof/>
          </w:rPr>
          <w:t>References</w:t>
        </w:r>
        <w:r w:rsidR="00A2389F">
          <w:rPr>
            <w:noProof/>
            <w:webHidden/>
          </w:rPr>
          <w:tab/>
        </w:r>
        <w:r w:rsidR="00A2389F">
          <w:rPr>
            <w:noProof/>
            <w:webHidden/>
          </w:rPr>
          <w:fldChar w:fldCharType="begin"/>
        </w:r>
        <w:r w:rsidR="00A2389F">
          <w:rPr>
            <w:noProof/>
            <w:webHidden/>
          </w:rPr>
          <w:instrText xml:space="preserve"> PAGEREF _Toc43128151 \h </w:instrText>
        </w:r>
        <w:r w:rsidR="00A2389F">
          <w:rPr>
            <w:noProof/>
            <w:webHidden/>
          </w:rPr>
        </w:r>
        <w:r w:rsidR="00A2389F">
          <w:rPr>
            <w:noProof/>
            <w:webHidden/>
          </w:rPr>
          <w:fldChar w:fldCharType="separate"/>
        </w:r>
        <w:r w:rsidR="00A2389F">
          <w:rPr>
            <w:noProof/>
            <w:webHidden/>
          </w:rPr>
          <w:t>42</w:t>
        </w:r>
        <w:r w:rsidR="00A2389F">
          <w:rPr>
            <w:noProof/>
            <w:webHidden/>
          </w:rPr>
          <w:fldChar w:fldCharType="end"/>
        </w:r>
      </w:hyperlink>
    </w:p>
    <w:p w14:paraId="7E3B88A9" w14:textId="61614F7C" w:rsidR="00A2389F" w:rsidRDefault="0058654C">
      <w:pPr>
        <w:pStyle w:val="TOC2"/>
        <w:tabs>
          <w:tab w:val="right" w:leader="dot" w:pos="9060"/>
        </w:tabs>
        <w:rPr>
          <w:rFonts w:eastAsiaTheme="minorEastAsia" w:cstheme="minorBidi"/>
          <w:smallCaps w:val="0"/>
          <w:noProof/>
          <w:sz w:val="22"/>
          <w:szCs w:val="22"/>
          <w:lang w:eastAsia="en-GB" w:bidi="ar-SA"/>
        </w:rPr>
      </w:pPr>
      <w:hyperlink w:anchor="_Toc43128152" w:history="1">
        <w:r w:rsidR="00A2389F" w:rsidRPr="002779F3">
          <w:rPr>
            <w:rStyle w:val="Hyperlink"/>
            <w:noProof/>
          </w:rPr>
          <w:t xml:space="preserve">Attachment A – Draft variation to the </w:t>
        </w:r>
        <w:r w:rsidR="00A2389F" w:rsidRPr="002779F3">
          <w:rPr>
            <w:rStyle w:val="Hyperlink"/>
            <w:i/>
            <w:noProof/>
          </w:rPr>
          <w:t>Australia New Zealand Food Standards Code</w:t>
        </w:r>
        <w:r w:rsidR="00A2389F">
          <w:rPr>
            <w:noProof/>
            <w:webHidden/>
          </w:rPr>
          <w:tab/>
        </w:r>
        <w:r w:rsidR="00A2389F">
          <w:rPr>
            <w:noProof/>
            <w:webHidden/>
          </w:rPr>
          <w:fldChar w:fldCharType="begin"/>
        </w:r>
        <w:r w:rsidR="00A2389F">
          <w:rPr>
            <w:noProof/>
            <w:webHidden/>
          </w:rPr>
          <w:instrText xml:space="preserve"> PAGEREF _Toc43128152 \h </w:instrText>
        </w:r>
        <w:r w:rsidR="00A2389F">
          <w:rPr>
            <w:noProof/>
            <w:webHidden/>
          </w:rPr>
        </w:r>
        <w:r w:rsidR="00A2389F">
          <w:rPr>
            <w:noProof/>
            <w:webHidden/>
          </w:rPr>
          <w:fldChar w:fldCharType="separate"/>
        </w:r>
        <w:r w:rsidR="00A2389F">
          <w:rPr>
            <w:noProof/>
            <w:webHidden/>
          </w:rPr>
          <w:t>44</w:t>
        </w:r>
        <w:r w:rsidR="00A2389F">
          <w:rPr>
            <w:noProof/>
            <w:webHidden/>
          </w:rPr>
          <w:fldChar w:fldCharType="end"/>
        </w:r>
      </w:hyperlink>
    </w:p>
    <w:p w14:paraId="4CF6BF6B" w14:textId="44ED5AAF" w:rsidR="00A2389F" w:rsidRDefault="0058654C">
      <w:pPr>
        <w:pStyle w:val="TOC2"/>
        <w:tabs>
          <w:tab w:val="right" w:leader="dot" w:pos="9060"/>
        </w:tabs>
        <w:rPr>
          <w:rFonts w:eastAsiaTheme="minorEastAsia" w:cstheme="minorBidi"/>
          <w:smallCaps w:val="0"/>
          <w:noProof/>
          <w:sz w:val="22"/>
          <w:szCs w:val="22"/>
          <w:lang w:eastAsia="en-GB" w:bidi="ar-SA"/>
        </w:rPr>
      </w:pPr>
      <w:hyperlink w:anchor="_Toc43128153" w:history="1">
        <w:r w:rsidR="00A2389F" w:rsidRPr="002779F3">
          <w:rPr>
            <w:rStyle w:val="Hyperlink"/>
            <w:noProof/>
          </w:rPr>
          <w:t>Attachment B – Draft Explanatory Statement</w:t>
        </w:r>
        <w:r w:rsidR="00A2389F">
          <w:rPr>
            <w:noProof/>
            <w:webHidden/>
          </w:rPr>
          <w:tab/>
        </w:r>
        <w:r w:rsidR="00A2389F">
          <w:rPr>
            <w:noProof/>
            <w:webHidden/>
          </w:rPr>
          <w:fldChar w:fldCharType="begin"/>
        </w:r>
        <w:r w:rsidR="00A2389F">
          <w:rPr>
            <w:noProof/>
            <w:webHidden/>
          </w:rPr>
          <w:instrText xml:space="preserve"> PAGEREF _Toc43128153 \h </w:instrText>
        </w:r>
        <w:r w:rsidR="00A2389F">
          <w:rPr>
            <w:noProof/>
            <w:webHidden/>
          </w:rPr>
        </w:r>
        <w:r w:rsidR="00A2389F">
          <w:rPr>
            <w:noProof/>
            <w:webHidden/>
          </w:rPr>
          <w:fldChar w:fldCharType="separate"/>
        </w:r>
        <w:r w:rsidR="00A2389F">
          <w:rPr>
            <w:noProof/>
            <w:webHidden/>
          </w:rPr>
          <w:t>47</w:t>
        </w:r>
        <w:r w:rsidR="00A2389F">
          <w:rPr>
            <w:noProof/>
            <w:webHidden/>
          </w:rPr>
          <w:fldChar w:fldCharType="end"/>
        </w:r>
      </w:hyperlink>
    </w:p>
    <w:p w14:paraId="311A47CF" w14:textId="54ED7590" w:rsidR="00A2389F" w:rsidRDefault="0058654C">
      <w:pPr>
        <w:pStyle w:val="TOC2"/>
        <w:tabs>
          <w:tab w:val="right" w:leader="dot" w:pos="9060"/>
        </w:tabs>
        <w:rPr>
          <w:rFonts w:eastAsiaTheme="minorEastAsia" w:cstheme="minorBidi"/>
          <w:smallCaps w:val="0"/>
          <w:noProof/>
          <w:sz w:val="22"/>
          <w:szCs w:val="22"/>
          <w:lang w:eastAsia="en-GB" w:bidi="ar-SA"/>
        </w:rPr>
      </w:pPr>
      <w:hyperlink w:anchor="_Toc43128154" w:history="1">
        <w:r w:rsidR="00A2389F" w:rsidRPr="002779F3">
          <w:rPr>
            <w:rStyle w:val="Hyperlink"/>
            <w:noProof/>
          </w:rPr>
          <w:t>Attachment C – Mock-up of proposed drafting for Schedule 3 and Schedule 26</w:t>
        </w:r>
        <w:r w:rsidR="00A2389F">
          <w:rPr>
            <w:noProof/>
            <w:webHidden/>
          </w:rPr>
          <w:tab/>
        </w:r>
        <w:r w:rsidR="00A2389F">
          <w:rPr>
            <w:noProof/>
            <w:webHidden/>
          </w:rPr>
          <w:fldChar w:fldCharType="begin"/>
        </w:r>
        <w:r w:rsidR="00A2389F">
          <w:rPr>
            <w:noProof/>
            <w:webHidden/>
          </w:rPr>
          <w:instrText xml:space="preserve"> PAGEREF _Toc43128154 \h </w:instrText>
        </w:r>
        <w:r w:rsidR="00A2389F">
          <w:rPr>
            <w:noProof/>
            <w:webHidden/>
          </w:rPr>
        </w:r>
        <w:r w:rsidR="00A2389F">
          <w:rPr>
            <w:noProof/>
            <w:webHidden/>
          </w:rPr>
          <w:fldChar w:fldCharType="separate"/>
        </w:r>
        <w:r w:rsidR="00A2389F">
          <w:rPr>
            <w:noProof/>
            <w:webHidden/>
          </w:rPr>
          <w:t>51</w:t>
        </w:r>
        <w:r w:rsidR="00A2389F">
          <w:rPr>
            <w:noProof/>
            <w:webHidden/>
          </w:rPr>
          <w:fldChar w:fldCharType="end"/>
        </w:r>
      </w:hyperlink>
    </w:p>
    <w:p w14:paraId="5841A52B" w14:textId="7BEE265A" w:rsidR="00A2389F" w:rsidRDefault="0058654C">
      <w:pPr>
        <w:pStyle w:val="TOC2"/>
        <w:tabs>
          <w:tab w:val="right" w:leader="dot" w:pos="9060"/>
        </w:tabs>
        <w:rPr>
          <w:rFonts w:eastAsiaTheme="minorEastAsia" w:cstheme="minorBidi"/>
          <w:smallCaps w:val="0"/>
          <w:noProof/>
          <w:sz w:val="22"/>
          <w:szCs w:val="22"/>
          <w:lang w:eastAsia="en-GB" w:bidi="ar-SA"/>
        </w:rPr>
      </w:pPr>
      <w:hyperlink w:anchor="_Toc43128155" w:history="1">
        <w:r w:rsidR="00A2389F" w:rsidRPr="002779F3">
          <w:rPr>
            <w:rStyle w:val="Hyperlink"/>
            <w:noProof/>
          </w:rPr>
          <w:t>Attachment D – Submitters at 1</w:t>
        </w:r>
        <w:r w:rsidR="00A2389F" w:rsidRPr="002779F3">
          <w:rPr>
            <w:rStyle w:val="Hyperlink"/>
            <w:noProof/>
            <w:vertAlign w:val="superscript"/>
          </w:rPr>
          <w:t>st</w:t>
        </w:r>
        <w:r w:rsidR="00A2389F" w:rsidRPr="002779F3">
          <w:rPr>
            <w:rStyle w:val="Hyperlink"/>
            <w:noProof/>
          </w:rPr>
          <w:t xml:space="preserve"> CFS</w:t>
        </w:r>
        <w:r w:rsidR="00A2389F">
          <w:rPr>
            <w:noProof/>
            <w:webHidden/>
          </w:rPr>
          <w:tab/>
        </w:r>
        <w:r w:rsidR="00A2389F">
          <w:rPr>
            <w:noProof/>
            <w:webHidden/>
          </w:rPr>
          <w:fldChar w:fldCharType="begin"/>
        </w:r>
        <w:r w:rsidR="00A2389F">
          <w:rPr>
            <w:noProof/>
            <w:webHidden/>
          </w:rPr>
          <w:instrText xml:space="preserve"> PAGEREF _Toc43128155 \h </w:instrText>
        </w:r>
        <w:r w:rsidR="00A2389F">
          <w:rPr>
            <w:noProof/>
            <w:webHidden/>
          </w:rPr>
        </w:r>
        <w:r w:rsidR="00A2389F">
          <w:rPr>
            <w:noProof/>
            <w:webHidden/>
          </w:rPr>
          <w:fldChar w:fldCharType="separate"/>
        </w:r>
        <w:r w:rsidR="00A2389F">
          <w:rPr>
            <w:noProof/>
            <w:webHidden/>
          </w:rPr>
          <w:t>54</w:t>
        </w:r>
        <w:r w:rsidR="00A2389F">
          <w:rPr>
            <w:noProof/>
            <w:webHidden/>
          </w:rPr>
          <w:fldChar w:fldCharType="end"/>
        </w:r>
      </w:hyperlink>
    </w:p>
    <w:p w14:paraId="07E4F77A" w14:textId="43111186" w:rsidR="00275289" w:rsidRPr="00281C7E" w:rsidRDefault="00051ED9" w:rsidP="0037520F">
      <w:pPr>
        <w:rPr>
          <w:rFonts w:cs="Arial"/>
          <w:sz w:val="20"/>
          <w:szCs w:val="20"/>
        </w:rPr>
      </w:pPr>
      <w:r w:rsidRPr="002C4A91">
        <w:rPr>
          <w:rFonts w:cs="Arial"/>
          <w:sz w:val="20"/>
          <w:szCs w:val="20"/>
        </w:rPr>
        <w:fldChar w:fldCharType="end"/>
      </w:r>
    </w:p>
    <w:p w14:paraId="362FE494" w14:textId="27767EA3" w:rsidR="0037520F" w:rsidRPr="00F329F5" w:rsidRDefault="0037520F" w:rsidP="0037520F">
      <w:pPr>
        <w:rPr>
          <w:rFonts w:cs="Arial"/>
          <w:sz w:val="20"/>
          <w:szCs w:val="20"/>
        </w:rPr>
      </w:pPr>
      <w:r w:rsidRPr="008844E4">
        <w:rPr>
          <w:b/>
          <w:szCs w:val="22"/>
        </w:rPr>
        <w:t>Supporting document</w:t>
      </w:r>
      <w:r w:rsidR="00275289">
        <w:rPr>
          <w:b/>
          <w:szCs w:val="22"/>
        </w:rPr>
        <w:t>s</w:t>
      </w:r>
    </w:p>
    <w:p w14:paraId="6660C3A0" w14:textId="77777777" w:rsidR="0037520F" w:rsidRPr="0089264A" w:rsidRDefault="0037520F" w:rsidP="0037520F">
      <w:pPr>
        <w:rPr>
          <w:szCs w:val="22"/>
        </w:rPr>
      </w:pPr>
    </w:p>
    <w:p w14:paraId="293DC45E" w14:textId="7862AB8A" w:rsidR="0037520F" w:rsidRPr="00110041" w:rsidRDefault="0037520F" w:rsidP="0037520F">
      <w:pPr>
        <w:rPr>
          <w:szCs w:val="22"/>
        </w:rPr>
      </w:pPr>
      <w:r w:rsidRPr="00110041">
        <w:rPr>
          <w:szCs w:val="22"/>
        </w:rPr>
        <w:t xml:space="preserve">The following documents </w:t>
      </w:r>
      <w:r w:rsidR="00681754" w:rsidRPr="00110041">
        <w:rPr>
          <w:szCs w:val="22"/>
        </w:rPr>
        <w:t xml:space="preserve">which informed the assessment of this </w:t>
      </w:r>
      <w:r w:rsidR="00CA380A" w:rsidRPr="00110041">
        <w:rPr>
          <w:szCs w:val="22"/>
        </w:rPr>
        <w:t>Application</w:t>
      </w:r>
      <w:r w:rsidRPr="00110041">
        <w:rPr>
          <w:szCs w:val="22"/>
        </w:rPr>
        <w:t xml:space="preserve"> are available on the FSANZ website</w:t>
      </w:r>
      <w:r w:rsidR="00820535" w:rsidRPr="00110041">
        <w:rPr>
          <w:szCs w:val="22"/>
        </w:rPr>
        <w:t>:</w:t>
      </w:r>
    </w:p>
    <w:p w14:paraId="41A30B90" w14:textId="77777777" w:rsidR="0089264A" w:rsidRPr="0089264A" w:rsidRDefault="0089264A" w:rsidP="0089264A">
      <w:pPr>
        <w:rPr>
          <w:szCs w:val="22"/>
        </w:rPr>
      </w:pPr>
    </w:p>
    <w:p w14:paraId="2DB119FB" w14:textId="4438CBDB" w:rsidR="00C14CBA" w:rsidRPr="007E1F95" w:rsidRDefault="0089264A" w:rsidP="00C14CBA">
      <w:pPr>
        <w:ind w:left="1134" w:hanging="1134"/>
      </w:pPr>
      <w:r w:rsidRPr="007E1F95">
        <w:t>SD1</w:t>
      </w:r>
      <w:r w:rsidRPr="007E1F95">
        <w:tab/>
      </w:r>
      <w:r w:rsidR="00535F9A" w:rsidRPr="007E1F95">
        <w:t>Risk</w:t>
      </w:r>
      <w:r w:rsidR="00CA380A" w:rsidRPr="007E1F95">
        <w:t xml:space="preserve"> and </w:t>
      </w:r>
      <w:r w:rsidR="00535F9A" w:rsidRPr="007E1F95">
        <w:t>t</w:t>
      </w:r>
      <w:r w:rsidR="00CA380A" w:rsidRPr="007E1F95">
        <w:t xml:space="preserve">echnical </w:t>
      </w:r>
      <w:r w:rsidR="00535F9A" w:rsidRPr="007E1F95">
        <w:t>a</w:t>
      </w:r>
      <w:r w:rsidR="00CA380A" w:rsidRPr="007E1F95">
        <w:t>ssessment</w:t>
      </w:r>
      <w:r w:rsidR="00110041" w:rsidRPr="007E1F95">
        <w:t xml:space="preserve"> </w:t>
      </w:r>
      <w:r w:rsidR="00535F9A" w:rsidRPr="007E1F95">
        <w:t>report</w:t>
      </w:r>
    </w:p>
    <w:p w14:paraId="258899ED" w14:textId="09106BCF" w:rsidR="003C1A86" w:rsidRPr="007E1F95" w:rsidRDefault="003C1A86" w:rsidP="00C14CBA">
      <w:pPr>
        <w:ind w:left="1134" w:hanging="1134"/>
      </w:pPr>
      <w:r w:rsidRPr="007E1F95">
        <w:lastRenderedPageBreak/>
        <w:t>SD2</w:t>
      </w:r>
      <w:r w:rsidRPr="007E1F95">
        <w:tab/>
      </w:r>
      <w:r w:rsidR="00EB75BA" w:rsidRPr="007E1F95">
        <w:t>Con</w:t>
      </w:r>
      <w:r w:rsidR="00A73253" w:rsidRPr="007E1F95">
        <w:t>sumers and meat analogue products in Australia and New Zealand</w:t>
      </w:r>
    </w:p>
    <w:p w14:paraId="2D95BF2A" w14:textId="77777777" w:rsidR="00051ED9" w:rsidRDefault="00562917" w:rsidP="00772BDC">
      <w:r w:rsidRPr="00E203C2">
        <w:br w:type="page"/>
      </w:r>
    </w:p>
    <w:p w14:paraId="64D37570" w14:textId="77777777" w:rsidR="00E063C6" w:rsidRDefault="00F33BB8" w:rsidP="00544E23">
      <w:pPr>
        <w:pStyle w:val="Heading1"/>
        <w:ind w:left="0" w:firstLine="0"/>
      </w:pPr>
      <w:bookmarkStart w:id="0" w:name="_Toc286391001"/>
      <w:bookmarkStart w:id="1" w:name="_Toc300933414"/>
      <w:bookmarkStart w:id="2" w:name="_Toc41576641"/>
      <w:bookmarkStart w:id="3" w:name="_Toc42875204"/>
      <w:bookmarkStart w:id="4" w:name="_Toc43128109"/>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0"/>
      <w:bookmarkEnd w:id="1"/>
      <w:bookmarkEnd w:id="2"/>
      <w:bookmarkEnd w:id="3"/>
      <w:bookmarkEnd w:id="4"/>
    </w:p>
    <w:p w14:paraId="12EFB727" w14:textId="6528AC2F" w:rsidR="004A75C8" w:rsidRDefault="001C50D9" w:rsidP="001C50D9">
      <w:pPr>
        <w:widowControl/>
      </w:pPr>
      <w:bookmarkStart w:id="10" w:name="_Toc286391003"/>
      <w:bookmarkStart w:id="11" w:name="_Toc300933417"/>
      <w:r>
        <w:t>Impossible Foods</w:t>
      </w:r>
      <w:r w:rsidR="00FE1E75">
        <w:t xml:space="preserve"> (the applicant)</w:t>
      </w:r>
      <w:r>
        <w:t xml:space="preserve"> </w:t>
      </w:r>
      <w:r w:rsidR="003268C0">
        <w:t>applied</w:t>
      </w:r>
      <w:r>
        <w:t xml:space="preserve"> to amend the Australia New Zealand Food Standards Code (the Code) to permit the use of soy leghemoglobin</w:t>
      </w:r>
      <w:r>
        <w:rPr>
          <w:rStyle w:val="FootnoteReference"/>
        </w:rPr>
        <w:footnoteReference w:id="2"/>
      </w:r>
      <w:r>
        <w:t xml:space="preserve"> in meat analogue pro</w:t>
      </w:r>
      <w:r w:rsidR="00E1362C">
        <w:t>ducts (including the Impossible</w:t>
      </w:r>
      <w:r>
        <w:t xml:space="preserve"> </w:t>
      </w:r>
      <w:r w:rsidR="00133D6A">
        <w:t>b</w:t>
      </w:r>
      <w:r>
        <w:t>urger, meatballs, sausages, and as fillings in buns and dumplings</w:t>
      </w:r>
      <w:r w:rsidR="005013F7">
        <w:t>)</w:t>
      </w:r>
      <w:r>
        <w:t xml:space="preserve"> at levels not more than 0.8% weight for weight (w/w</w:t>
      </w:r>
      <w:r w:rsidR="00133D6A">
        <w:rPr>
          <w:rStyle w:val="FootnoteReference"/>
        </w:rPr>
        <w:footnoteReference w:id="3"/>
      </w:r>
      <w:r>
        <w:t>) in raw product.</w:t>
      </w:r>
      <w:r w:rsidRPr="00E87008">
        <w:t xml:space="preserve"> </w:t>
      </w:r>
    </w:p>
    <w:p w14:paraId="1838E1D4" w14:textId="77777777" w:rsidR="004A75C8" w:rsidRDefault="004A75C8" w:rsidP="001C50D9">
      <w:pPr>
        <w:widowControl/>
      </w:pPr>
    </w:p>
    <w:p w14:paraId="586AB5F6" w14:textId="47132361" w:rsidR="001C50D9" w:rsidRDefault="004A75C8" w:rsidP="001C50D9">
      <w:pPr>
        <w:widowControl/>
      </w:pPr>
      <w:r>
        <w:t xml:space="preserve">The applicant sought permission </w:t>
      </w:r>
      <w:r w:rsidR="006E1A14">
        <w:t xml:space="preserve">for soy leghemoglobin </w:t>
      </w:r>
      <w:r>
        <w:t xml:space="preserve">as a novel food, nutritive substance and </w:t>
      </w:r>
      <w:r w:rsidR="00B06B21" w:rsidRPr="004517C5">
        <w:t xml:space="preserve">genetically modified (GM) </w:t>
      </w:r>
      <w:r>
        <w:t xml:space="preserve">food. </w:t>
      </w:r>
      <w:r w:rsidR="005013F7">
        <w:t xml:space="preserve">The </w:t>
      </w:r>
      <w:r>
        <w:t xml:space="preserve">applicant’s </w:t>
      </w:r>
      <w:r w:rsidR="005013F7">
        <w:t xml:space="preserve">use intends to </w:t>
      </w:r>
      <w:r w:rsidR="00FE1E75">
        <w:rPr>
          <w:color w:val="000000" w:themeColor="text1"/>
        </w:rPr>
        <w:t>provide</w:t>
      </w:r>
      <w:r w:rsidR="00FE1E75" w:rsidRPr="004517C5">
        <w:t xml:space="preserve"> </w:t>
      </w:r>
      <w:r w:rsidR="001C50D9" w:rsidRPr="004517C5">
        <w:t xml:space="preserve">the nutrition (source of iron), </w:t>
      </w:r>
      <w:r w:rsidR="005013F7">
        <w:t xml:space="preserve">and </w:t>
      </w:r>
      <w:r w:rsidR="001C50D9" w:rsidRPr="004517C5">
        <w:t>flavour and aroma</w:t>
      </w:r>
      <w:r w:rsidR="00C837F8">
        <w:t xml:space="preserve"> </w:t>
      </w:r>
      <w:r w:rsidR="009A6D07">
        <w:t xml:space="preserve">similar to that of </w:t>
      </w:r>
      <w:r w:rsidR="001C50D9" w:rsidRPr="004517C5">
        <w:t>myoglobin</w:t>
      </w:r>
      <w:r w:rsidR="001C50D9">
        <w:t xml:space="preserve">, </w:t>
      </w:r>
      <w:r w:rsidR="001C50D9">
        <w:rPr>
          <w:color w:val="000000" w:themeColor="text1"/>
        </w:rPr>
        <w:t>an oxygen storing</w:t>
      </w:r>
      <w:r w:rsidR="001C50D9" w:rsidRPr="00641F5D">
        <w:rPr>
          <w:color w:val="000000" w:themeColor="text1"/>
        </w:rPr>
        <w:t xml:space="preserve"> </w:t>
      </w:r>
      <w:r w:rsidR="001C50D9">
        <w:rPr>
          <w:color w:val="000000" w:themeColor="text1"/>
        </w:rPr>
        <w:t xml:space="preserve">haem protein </w:t>
      </w:r>
      <w:r w:rsidR="001C50D9" w:rsidRPr="00641F5D">
        <w:rPr>
          <w:color w:val="000000" w:themeColor="text1"/>
        </w:rPr>
        <w:t xml:space="preserve">found in </w:t>
      </w:r>
      <w:r w:rsidR="00E80850">
        <w:rPr>
          <w:color w:val="000000" w:themeColor="text1"/>
        </w:rPr>
        <w:t>meat</w:t>
      </w:r>
      <w:r w:rsidR="00C21D02">
        <w:rPr>
          <w:color w:val="000000" w:themeColor="text1"/>
        </w:rPr>
        <w:t>.</w:t>
      </w:r>
      <w:r w:rsidR="001C50D9" w:rsidRPr="00E87008">
        <w:t xml:space="preserve"> </w:t>
      </w:r>
    </w:p>
    <w:p w14:paraId="10D371FE" w14:textId="77777777" w:rsidR="001C50D9" w:rsidRDefault="001C50D9" w:rsidP="001C50D9">
      <w:pPr>
        <w:widowControl/>
      </w:pPr>
    </w:p>
    <w:p w14:paraId="4C3A51DC" w14:textId="5233E9CB" w:rsidR="002C2850" w:rsidRDefault="00A21341" w:rsidP="00ED4C8D">
      <w:pPr>
        <w:widowControl/>
      </w:pPr>
      <w:r>
        <w:t xml:space="preserve">The applicant’s soy </w:t>
      </w:r>
      <w:r w:rsidR="002C2850">
        <w:t xml:space="preserve">leghemoglobin </w:t>
      </w:r>
      <w:r w:rsidR="002C2850">
        <w:rPr>
          <w:lang w:eastAsia="en-AU" w:bidi="ar-SA"/>
        </w:rPr>
        <w:t xml:space="preserve">is </w:t>
      </w:r>
      <w:r>
        <w:rPr>
          <w:lang w:eastAsia="en-AU" w:bidi="ar-SA"/>
        </w:rPr>
        <w:t>presented in</w:t>
      </w:r>
      <w:r w:rsidR="002C2850">
        <w:rPr>
          <w:lang w:eastAsia="en-AU" w:bidi="ar-SA"/>
        </w:rPr>
        <w:t xml:space="preserve"> </w:t>
      </w:r>
      <w:r>
        <w:rPr>
          <w:lang w:eastAsia="en-AU" w:bidi="ar-SA"/>
        </w:rPr>
        <w:t xml:space="preserve">the form of </w:t>
      </w:r>
      <w:r w:rsidR="002C2850">
        <w:rPr>
          <w:lang w:eastAsia="en-AU" w:bidi="ar-SA"/>
        </w:rPr>
        <w:t>a liquid</w:t>
      </w:r>
      <w:r w:rsidR="002C2850" w:rsidRPr="004517C5">
        <w:rPr>
          <w:lang w:eastAsia="en-AU" w:bidi="ar-SA"/>
        </w:rPr>
        <w:t xml:space="preserve"> </w:t>
      </w:r>
      <w:r w:rsidR="002C2850">
        <w:t xml:space="preserve">cell lysate preparation </w:t>
      </w:r>
      <w:r w:rsidR="002C2850">
        <w:rPr>
          <w:lang w:eastAsia="en-AU" w:bidi="ar-SA"/>
        </w:rPr>
        <w:t xml:space="preserve">(called </w:t>
      </w:r>
      <w:r w:rsidR="002C2850" w:rsidRPr="004517C5">
        <w:rPr>
          <w:lang w:eastAsia="en-AU" w:bidi="ar-SA"/>
        </w:rPr>
        <w:t xml:space="preserve">LegH </w:t>
      </w:r>
      <w:r w:rsidR="002C2850">
        <w:rPr>
          <w:lang w:eastAsia="en-AU" w:bidi="ar-SA"/>
        </w:rPr>
        <w:t>P</w:t>
      </w:r>
      <w:r w:rsidR="002C2850" w:rsidRPr="004517C5">
        <w:rPr>
          <w:lang w:eastAsia="en-AU" w:bidi="ar-SA"/>
        </w:rPr>
        <w:t>rep</w:t>
      </w:r>
      <w:r w:rsidR="00D94276">
        <w:rPr>
          <w:rStyle w:val="FootnoteReference"/>
          <w:lang w:eastAsia="en-AU" w:bidi="ar-SA"/>
        </w:rPr>
        <w:footnoteReference w:id="4"/>
      </w:r>
      <w:r w:rsidR="002C2850">
        <w:rPr>
          <w:lang w:eastAsia="en-AU" w:bidi="ar-SA"/>
        </w:rPr>
        <w:t>)</w:t>
      </w:r>
      <w:r w:rsidR="002C2850">
        <w:t xml:space="preserve"> </w:t>
      </w:r>
      <w:r>
        <w:t xml:space="preserve">and </w:t>
      </w:r>
      <w:r w:rsidR="004A75C8">
        <w:t xml:space="preserve">is </w:t>
      </w:r>
      <w:r>
        <w:t xml:space="preserve">produced </w:t>
      </w:r>
      <w:r w:rsidR="002C2850" w:rsidRPr="004517C5">
        <w:t xml:space="preserve">from </w:t>
      </w:r>
      <w:r w:rsidR="002C2850">
        <w:t xml:space="preserve">a </w:t>
      </w:r>
      <w:r w:rsidR="00B06B21">
        <w:t xml:space="preserve">GM </w:t>
      </w:r>
      <w:r w:rsidR="002C2850" w:rsidRPr="007B2989">
        <w:t>yeast</w:t>
      </w:r>
      <w:r w:rsidR="002C2850">
        <w:t xml:space="preserve">, </w:t>
      </w:r>
      <w:r w:rsidR="002C2850" w:rsidRPr="004517C5">
        <w:rPr>
          <w:i/>
        </w:rPr>
        <w:t>Pichia pastoris</w:t>
      </w:r>
      <w:r w:rsidR="002C2850">
        <w:t>. This yeast has been modified to express</w:t>
      </w:r>
      <w:r w:rsidR="002C2850" w:rsidRPr="004517C5">
        <w:t xml:space="preserve"> the </w:t>
      </w:r>
      <w:r w:rsidR="002C2850">
        <w:t>leghaemoglobin</w:t>
      </w:r>
      <w:r w:rsidR="002C2850" w:rsidRPr="004517C5">
        <w:t xml:space="preserve"> gene from </w:t>
      </w:r>
      <w:r w:rsidR="002C2850">
        <w:rPr>
          <w:lang w:eastAsia="en-AU" w:bidi="ar-SA"/>
        </w:rPr>
        <w:t>soybean</w:t>
      </w:r>
      <w:r w:rsidR="002C2850" w:rsidRPr="004517C5">
        <w:rPr>
          <w:i/>
        </w:rPr>
        <w:t xml:space="preserve"> (Glycine max</w:t>
      </w:r>
      <w:r w:rsidR="002C2850" w:rsidRPr="00017C6D">
        <w:t>)</w:t>
      </w:r>
      <w:r w:rsidR="002C2850">
        <w:t xml:space="preserve">. </w:t>
      </w:r>
      <w:r w:rsidR="002C2850">
        <w:rPr>
          <w:lang w:eastAsia="en-AU" w:bidi="ar-SA"/>
        </w:rPr>
        <w:t xml:space="preserve">LegH Prep </w:t>
      </w:r>
      <w:r w:rsidR="002C2850" w:rsidRPr="004517C5">
        <w:rPr>
          <w:lang w:eastAsia="en-AU" w:bidi="ar-SA"/>
        </w:rPr>
        <w:t>contain</w:t>
      </w:r>
      <w:r w:rsidR="002C2850">
        <w:rPr>
          <w:lang w:eastAsia="en-AU" w:bidi="ar-SA"/>
        </w:rPr>
        <w:t>s</w:t>
      </w:r>
      <w:r w:rsidR="002C2850" w:rsidRPr="004517C5">
        <w:rPr>
          <w:lang w:eastAsia="en-AU" w:bidi="ar-SA"/>
        </w:rPr>
        <w:t xml:space="preserve"> </w:t>
      </w:r>
      <w:r w:rsidR="002C2850">
        <w:rPr>
          <w:lang w:eastAsia="en-AU" w:bidi="ar-SA"/>
        </w:rPr>
        <w:t xml:space="preserve">soy leghemoglobin, </w:t>
      </w:r>
      <w:r w:rsidR="002C2850" w:rsidRPr="004517C5">
        <w:rPr>
          <w:lang w:eastAsia="en-AU" w:bidi="ar-SA"/>
        </w:rPr>
        <w:t xml:space="preserve">proteins </w:t>
      </w:r>
      <w:r w:rsidR="002C2850">
        <w:rPr>
          <w:lang w:eastAsia="en-AU" w:bidi="ar-SA"/>
        </w:rPr>
        <w:t xml:space="preserve">and genomic DNA </w:t>
      </w:r>
      <w:r w:rsidR="002C2850" w:rsidRPr="004517C5">
        <w:rPr>
          <w:lang w:eastAsia="en-AU" w:bidi="ar-SA"/>
        </w:rPr>
        <w:t xml:space="preserve">from the </w:t>
      </w:r>
      <w:r w:rsidR="002C2850" w:rsidRPr="004517C5">
        <w:rPr>
          <w:i/>
          <w:lang w:eastAsia="en-AU" w:bidi="ar-SA"/>
        </w:rPr>
        <w:t>Pichia</w:t>
      </w:r>
      <w:r w:rsidR="002C2850" w:rsidRPr="004517C5">
        <w:rPr>
          <w:lang w:eastAsia="en-AU" w:bidi="ar-SA"/>
        </w:rPr>
        <w:t xml:space="preserve"> production strain</w:t>
      </w:r>
      <w:r w:rsidR="002C2850">
        <w:rPr>
          <w:lang w:eastAsia="en-AU" w:bidi="ar-SA"/>
        </w:rPr>
        <w:t>, plus</w:t>
      </w:r>
      <w:r w:rsidR="002C2850">
        <w:rPr>
          <w:lang w:val="en-AU"/>
        </w:rPr>
        <w:t xml:space="preserve"> s</w:t>
      </w:r>
      <w:r w:rsidR="002C2850" w:rsidRPr="00204C4D">
        <w:rPr>
          <w:lang w:val="en-AU"/>
        </w:rPr>
        <w:t>odium ascorbate and sodium chloride</w:t>
      </w:r>
      <w:r w:rsidR="002C2850">
        <w:rPr>
          <w:lang w:val="en-AU"/>
        </w:rPr>
        <w:t xml:space="preserve"> as stabilisers</w:t>
      </w:r>
      <w:r w:rsidR="002C2850">
        <w:t>.</w:t>
      </w:r>
    </w:p>
    <w:p w14:paraId="5CE82409" w14:textId="77777777" w:rsidR="002C2850" w:rsidRDefault="002C2850" w:rsidP="00ED4C8D">
      <w:pPr>
        <w:widowControl/>
        <w:rPr>
          <w:color w:val="000000" w:themeColor="text1"/>
        </w:rPr>
      </w:pPr>
    </w:p>
    <w:p w14:paraId="6371C271" w14:textId="6582B7F0" w:rsidR="005C6497" w:rsidRDefault="005C6497" w:rsidP="005C6497">
      <w:pPr>
        <w:rPr>
          <w:szCs w:val="22"/>
        </w:rPr>
      </w:pPr>
      <w:r>
        <w:t>FSANZ has assessed soy leghemoglobin as a</w:t>
      </w:r>
      <w:r>
        <w:rPr>
          <w:szCs w:val="22"/>
        </w:rPr>
        <w:t xml:space="preserve"> nutritive substance </w:t>
      </w:r>
      <w:r>
        <w:t>f</w:t>
      </w:r>
      <w:r>
        <w:rPr>
          <w:szCs w:val="22"/>
        </w:rPr>
        <w:t xml:space="preserve">or the purpose of providing a source of iron to meat analogue products. FSANZ </w:t>
      </w:r>
      <w:r w:rsidR="0003354C">
        <w:rPr>
          <w:szCs w:val="22"/>
        </w:rPr>
        <w:t xml:space="preserve">also </w:t>
      </w:r>
      <w:r>
        <w:rPr>
          <w:szCs w:val="22"/>
        </w:rPr>
        <w:t>assessed soy leghemoglobin in the form of LegH Prep as a</w:t>
      </w:r>
      <w:r>
        <w:t xml:space="preserve"> food produced using gene technology, due to its production method.</w:t>
      </w:r>
    </w:p>
    <w:p w14:paraId="4F1CC704" w14:textId="77777777" w:rsidR="00BE208F" w:rsidRDefault="00BE208F" w:rsidP="005C6497">
      <w:pPr>
        <w:rPr>
          <w:szCs w:val="22"/>
        </w:rPr>
      </w:pPr>
    </w:p>
    <w:p w14:paraId="1E3D5EEA" w14:textId="501546D6" w:rsidR="005C6497" w:rsidRDefault="005C6497" w:rsidP="005C6497">
      <w:pPr>
        <w:rPr>
          <w:szCs w:val="22"/>
        </w:rPr>
      </w:pPr>
      <w:r>
        <w:t xml:space="preserve">FSANZ did not assess soy leghemoglobin in </w:t>
      </w:r>
      <w:r w:rsidR="009159E5">
        <w:t xml:space="preserve">the </w:t>
      </w:r>
      <w:r>
        <w:t>form of LegH Prep as a novel food because the GM and nutritive substance permissions more accurately reflect the nature of this ingredient (produced through microbial fermentation of a GM yeast) and</w:t>
      </w:r>
      <w:r w:rsidRPr="0043346A">
        <w:t xml:space="preserve"> the purpose for which it is being added to </w:t>
      </w:r>
      <w:r>
        <w:t>meat analogue products (</w:t>
      </w:r>
      <w:r w:rsidRPr="0043346A">
        <w:t>as a source of iron</w:t>
      </w:r>
      <w:r>
        <w:t>).</w:t>
      </w:r>
      <w:r w:rsidR="00AF789F" w:rsidRPr="005C6210">
        <w:t xml:space="preserve"> </w:t>
      </w:r>
    </w:p>
    <w:p w14:paraId="3559FDE1" w14:textId="77777777" w:rsidR="00122195" w:rsidRDefault="00122195" w:rsidP="00122195">
      <w:pPr>
        <w:widowControl/>
        <w:rPr>
          <w:color w:val="000000" w:themeColor="text1"/>
        </w:rPr>
      </w:pPr>
    </w:p>
    <w:p w14:paraId="77C1AE12" w14:textId="4135DC58" w:rsidR="00203AF8" w:rsidRPr="00ED4CAE" w:rsidRDefault="00BD65AC" w:rsidP="00122195">
      <w:pPr>
        <w:widowControl/>
      </w:pPr>
      <w:r w:rsidRPr="00122195">
        <w:rPr>
          <w:color w:val="000000" w:themeColor="text1"/>
        </w:rPr>
        <w:t>FSANZ</w:t>
      </w:r>
      <w:r w:rsidR="00A53E5D" w:rsidRPr="00122195">
        <w:rPr>
          <w:color w:val="000000" w:themeColor="text1"/>
        </w:rPr>
        <w:t>’s risk and technical assessment (SD1)</w:t>
      </w:r>
      <w:r w:rsidRPr="00122195">
        <w:rPr>
          <w:color w:val="000000" w:themeColor="text1"/>
        </w:rPr>
        <w:t xml:space="preserve"> </w:t>
      </w:r>
      <w:r w:rsidR="00866234">
        <w:rPr>
          <w:color w:val="000000" w:themeColor="text1"/>
        </w:rPr>
        <w:t xml:space="preserve">has </w:t>
      </w:r>
      <w:r w:rsidR="00A53E5D" w:rsidRPr="00122195">
        <w:rPr>
          <w:color w:val="000000" w:themeColor="text1"/>
        </w:rPr>
        <w:t xml:space="preserve">used </w:t>
      </w:r>
      <w:r w:rsidR="00203AF8" w:rsidRPr="00122195">
        <w:rPr>
          <w:color w:val="000000" w:themeColor="text1"/>
        </w:rPr>
        <w:t>internationally agreed practices and processes</w:t>
      </w:r>
      <w:r w:rsidR="00866234">
        <w:rPr>
          <w:color w:val="000000" w:themeColor="text1"/>
        </w:rPr>
        <w:t xml:space="preserve"> to assess safety</w:t>
      </w:r>
      <w:r w:rsidR="00203AF8" w:rsidRPr="00122195">
        <w:rPr>
          <w:color w:val="000000" w:themeColor="text1"/>
        </w:rPr>
        <w:t xml:space="preserve">. </w:t>
      </w:r>
      <w:r w:rsidR="00203AF8">
        <w:t>P</w:t>
      </w:r>
      <w:r w:rsidR="00203AF8" w:rsidRPr="00ED4CAE">
        <w:t>ost-marketing surveillance</w:t>
      </w:r>
      <w:r w:rsidR="00203AF8">
        <w:t xml:space="preserve"> data provided by international </w:t>
      </w:r>
      <w:r w:rsidR="00122195">
        <w:t>regulatory partners has not identified any confirmed adverse events following consumption of meat analogue products containing soy leghemoglobin</w:t>
      </w:r>
      <w:r w:rsidR="00C55040">
        <w:t xml:space="preserve"> in the form of LegH Prep</w:t>
      </w:r>
      <w:r w:rsidR="00122195">
        <w:t>. This is consistent with data provided by the applicant and the outcomes of FSANZ’s safety assessment.</w:t>
      </w:r>
    </w:p>
    <w:p w14:paraId="2E4E8CC3" w14:textId="77777777" w:rsidR="00122195" w:rsidRDefault="00122195" w:rsidP="00BD65AC">
      <w:pPr>
        <w:widowControl/>
        <w:ind w:firstLine="3"/>
        <w:rPr>
          <w:color w:val="000000" w:themeColor="text1"/>
        </w:rPr>
      </w:pPr>
    </w:p>
    <w:p w14:paraId="23064BB4" w14:textId="3BC29BE3" w:rsidR="004A75C8" w:rsidRDefault="004A75C8" w:rsidP="004A75C8">
      <w:pPr>
        <w:widowControl/>
        <w:rPr>
          <w:lang w:val="en-AU"/>
        </w:rPr>
      </w:pPr>
      <w:r>
        <w:t xml:space="preserve">The applicant currently </w:t>
      </w:r>
      <w:r>
        <w:rPr>
          <w:lang w:val="en-AU"/>
        </w:rPr>
        <w:t xml:space="preserve">manufactures soy leghemoglobin in the form of LegH Prep for use in </w:t>
      </w:r>
      <w:r w:rsidR="00E1362C">
        <w:rPr>
          <w:lang w:val="en-AU"/>
        </w:rPr>
        <w:t>Impossible</w:t>
      </w:r>
      <w:r>
        <w:rPr>
          <w:lang w:val="en-AU"/>
        </w:rPr>
        <w:t xml:space="preserve"> meat analogue</w:t>
      </w:r>
      <w:r w:rsidRPr="006C443F">
        <w:rPr>
          <w:lang w:val="en-AU"/>
        </w:rPr>
        <w:t xml:space="preserve"> products </w:t>
      </w:r>
      <w:r>
        <w:rPr>
          <w:lang w:val="en-AU"/>
        </w:rPr>
        <w:t xml:space="preserve">sold </w:t>
      </w:r>
      <w:r w:rsidRPr="00155A0E">
        <w:rPr>
          <w:lang w:val="en-AU"/>
        </w:rPr>
        <w:t xml:space="preserve">in the United </w:t>
      </w:r>
      <w:r>
        <w:rPr>
          <w:lang w:val="en-AU"/>
        </w:rPr>
        <w:t xml:space="preserve">States (US), Singapore, Hong Kong </w:t>
      </w:r>
      <w:r w:rsidR="009159E5">
        <w:rPr>
          <w:lang w:val="en-AU"/>
        </w:rPr>
        <w:t xml:space="preserve">and </w:t>
      </w:r>
      <w:r>
        <w:rPr>
          <w:lang w:val="en-AU"/>
        </w:rPr>
        <w:t xml:space="preserve">Macau. As of 2019, soy leghemoglobin has regulatory approval for sale in meat analogue products in Canada. </w:t>
      </w:r>
    </w:p>
    <w:p w14:paraId="4392FFA6" w14:textId="77777777" w:rsidR="004A75C8" w:rsidRDefault="004A75C8" w:rsidP="004A75C8">
      <w:pPr>
        <w:widowControl/>
        <w:rPr>
          <w:lang w:val="en-AU"/>
        </w:rPr>
      </w:pPr>
    </w:p>
    <w:p w14:paraId="6E3B6135" w14:textId="10C42172" w:rsidR="00122195" w:rsidRDefault="00122195" w:rsidP="00C55040">
      <w:pPr>
        <w:rPr>
          <w:lang w:val="en-AU" w:bidi="ar-SA"/>
        </w:rPr>
      </w:pPr>
      <w:r>
        <w:rPr>
          <w:lang w:val="en-AU" w:bidi="ar-SA"/>
        </w:rPr>
        <w:t>On 20 December 2019, FSANZ sought submissions on its preliminary position in the 1</w:t>
      </w:r>
      <w:r w:rsidRPr="00F0010C">
        <w:rPr>
          <w:vertAlign w:val="superscript"/>
          <w:lang w:val="en-AU" w:bidi="ar-SA"/>
        </w:rPr>
        <w:t>st</w:t>
      </w:r>
      <w:r>
        <w:rPr>
          <w:lang w:val="en-AU" w:bidi="ar-SA"/>
        </w:rPr>
        <w:t xml:space="preserve"> Call for Submissions (CFS) report; 44 submissions were received. FSANZ subsequently conducted targeted consultation with </w:t>
      </w:r>
      <w:r w:rsidR="00C55040">
        <w:rPr>
          <w:lang w:val="en-AU" w:bidi="ar-SA"/>
        </w:rPr>
        <w:t>four</w:t>
      </w:r>
      <w:r>
        <w:rPr>
          <w:lang w:val="en-AU" w:bidi="ar-SA"/>
        </w:rPr>
        <w:t xml:space="preserve"> Australian </w:t>
      </w:r>
      <w:r w:rsidR="00F51998">
        <w:rPr>
          <w:lang w:val="en-AU" w:bidi="ar-SA"/>
        </w:rPr>
        <w:t>j</w:t>
      </w:r>
      <w:r>
        <w:rPr>
          <w:lang w:val="en-AU" w:bidi="ar-SA"/>
        </w:rPr>
        <w:t>urisdictions</w:t>
      </w:r>
      <w:r w:rsidR="00C55040">
        <w:rPr>
          <w:lang w:val="en-AU" w:bidi="ar-SA"/>
        </w:rPr>
        <w:t xml:space="preserve"> and the New Zealand Ministry </w:t>
      </w:r>
      <w:r w:rsidR="009159E5">
        <w:rPr>
          <w:lang w:val="en-AU" w:bidi="ar-SA"/>
        </w:rPr>
        <w:t xml:space="preserve">for </w:t>
      </w:r>
      <w:r w:rsidR="00C55040">
        <w:rPr>
          <w:lang w:val="en-AU" w:bidi="ar-SA"/>
        </w:rPr>
        <w:t>Primary Industries. I</w:t>
      </w:r>
      <w:r>
        <w:rPr>
          <w:lang w:val="en-AU" w:bidi="ar-SA"/>
        </w:rPr>
        <w:t>ssues raised in submissions</w:t>
      </w:r>
      <w:r w:rsidR="00866234" w:rsidRPr="00866234">
        <w:rPr>
          <w:lang w:val="en-AU" w:bidi="ar-SA"/>
        </w:rPr>
        <w:t xml:space="preserve"> </w:t>
      </w:r>
      <w:r w:rsidR="00C55040">
        <w:rPr>
          <w:lang w:val="en-AU" w:bidi="ar-SA"/>
        </w:rPr>
        <w:t xml:space="preserve">were also considered </w:t>
      </w:r>
      <w:r w:rsidR="00866234">
        <w:rPr>
          <w:lang w:val="en-AU" w:bidi="ar-SA"/>
        </w:rPr>
        <w:t xml:space="preserve">with </w:t>
      </w:r>
      <w:r w:rsidR="00C55040">
        <w:rPr>
          <w:lang w:val="en-AU" w:bidi="ar-SA"/>
        </w:rPr>
        <w:t xml:space="preserve">additional input requested from </w:t>
      </w:r>
      <w:r w:rsidR="00866234">
        <w:rPr>
          <w:lang w:val="en-AU" w:bidi="ar-SA"/>
        </w:rPr>
        <w:t>the applicant</w:t>
      </w:r>
      <w:r>
        <w:rPr>
          <w:lang w:val="en-AU" w:bidi="ar-SA"/>
        </w:rPr>
        <w:t>.</w:t>
      </w:r>
    </w:p>
    <w:p w14:paraId="3E18667F" w14:textId="77777777" w:rsidR="00C55040" w:rsidRPr="00C55040" w:rsidRDefault="00C55040" w:rsidP="00C55040">
      <w:pPr>
        <w:rPr>
          <w:lang w:val="en-AU" w:bidi="ar-SA"/>
        </w:rPr>
      </w:pPr>
    </w:p>
    <w:p w14:paraId="7D616049" w14:textId="1BD29205" w:rsidR="00BD65AC" w:rsidRDefault="00203AF8" w:rsidP="00DB194D">
      <w:pPr>
        <w:widowControl/>
        <w:ind w:firstLine="3"/>
        <w:rPr>
          <w:rFonts w:eastAsia="Calibri"/>
          <w:szCs w:val="22"/>
          <w:lang w:bidi="ar-SA"/>
        </w:rPr>
      </w:pPr>
      <w:r>
        <w:rPr>
          <w:color w:val="000000" w:themeColor="text1"/>
        </w:rPr>
        <w:t>S</w:t>
      </w:r>
      <w:r w:rsidRPr="00203AF8">
        <w:rPr>
          <w:color w:val="000000" w:themeColor="text1"/>
        </w:rPr>
        <w:t>ubmissions received by FSANZ</w:t>
      </w:r>
      <w:r>
        <w:t xml:space="preserve"> did not provide any substantive scientific evidence or </w:t>
      </w:r>
      <w:r w:rsidR="00AD33FC">
        <w:t xml:space="preserve">new </w:t>
      </w:r>
      <w:r>
        <w:t>argument</w:t>
      </w:r>
      <w:r w:rsidR="00AD33FC">
        <w:t>s</w:t>
      </w:r>
      <w:r>
        <w:t xml:space="preserve"> </w:t>
      </w:r>
      <w:r w:rsidR="00122195" w:rsidRPr="000B27BA">
        <w:rPr>
          <w:lang w:val="en-AU" w:bidi="ar-SA"/>
        </w:rPr>
        <w:t>that would change the conclusions of FSANZ’s evaluation of the safety of soy leghemoglobin</w:t>
      </w:r>
      <w:r w:rsidR="00C55040">
        <w:rPr>
          <w:lang w:val="en-AU" w:bidi="ar-SA"/>
        </w:rPr>
        <w:t xml:space="preserve"> in the form of LegH Prep</w:t>
      </w:r>
      <w:r w:rsidR="00122195" w:rsidRPr="000B27BA">
        <w:rPr>
          <w:lang w:val="en-AU" w:bidi="ar-SA"/>
        </w:rPr>
        <w:t>.</w:t>
      </w:r>
      <w:r>
        <w:t xml:space="preserve"> FSANZ </w:t>
      </w:r>
      <w:r w:rsidR="00122195">
        <w:t xml:space="preserve">therefore </w:t>
      </w:r>
      <w:r>
        <w:t xml:space="preserve">maintains </w:t>
      </w:r>
      <w:r w:rsidR="00122195">
        <w:t xml:space="preserve">its </w:t>
      </w:r>
      <w:r w:rsidR="00DB194D">
        <w:t xml:space="preserve">overarching </w:t>
      </w:r>
      <w:r>
        <w:t>conclusion</w:t>
      </w:r>
      <w:r w:rsidR="00DB194D">
        <w:t xml:space="preserve"> at</w:t>
      </w:r>
      <w:r w:rsidR="00887012">
        <w:t xml:space="preserve"> the</w:t>
      </w:r>
      <w:r w:rsidR="00DB194D">
        <w:t xml:space="preserve"> 1</w:t>
      </w:r>
      <w:r w:rsidR="00DB194D" w:rsidRPr="0026717A">
        <w:rPr>
          <w:vertAlign w:val="superscript"/>
        </w:rPr>
        <w:t>st</w:t>
      </w:r>
      <w:r w:rsidR="00DB194D">
        <w:t xml:space="preserve"> CFS</w:t>
      </w:r>
      <w:r>
        <w:t xml:space="preserve"> </w:t>
      </w:r>
      <w:r w:rsidR="00BD65AC">
        <w:t xml:space="preserve">that </w:t>
      </w:r>
      <w:r w:rsidR="00BD65AC">
        <w:rPr>
          <w:rFonts w:eastAsia="Calibri"/>
          <w:szCs w:val="22"/>
          <w:lang w:bidi="ar-SA"/>
        </w:rPr>
        <w:t>soy leghemoglobin in the form of LegH Prep is</w:t>
      </w:r>
      <w:r w:rsidR="00BD65AC" w:rsidRPr="00E74C15">
        <w:rPr>
          <w:rFonts w:eastAsia="Calibri"/>
          <w:szCs w:val="22"/>
          <w:lang w:bidi="ar-SA"/>
        </w:rPr>
        <w:t xml:space="preserve"> </w:t>
      </w:r>
      <w:r w:rsidR="00BD65AC">
        <w:rPr>
          <w:rFonts w:eastAsia="Calibri"/>
          <w:szCs w:val="22"/>
          <w:lang w:bidi="ar-SA"/>
        </w:rPr>
        <w:t>safe for human consumption in meat analogue products at levels up to 0.8%</w:t>
      </w:r>
      <w:r w:rsidR="00122195">
        <w:rPr>
          <w:rFonts w:eastAsia="Calibri"/>
          <w:szCs w:val="22"/>
          <w:lang w:bidi="ar-SA"/>
        </w:rPr>
        <w:t xml:space="preserve">. </w:t>
      </w:r>
      <w:r w:rsidR="00DB194D">
        <w:rPr>
          <w:rFonts w:eastAsia="Calibri"/>
          <w:szCs w:val="22"/>
          <w:lang w:bidi="ar-SA"/>
        </w:rPr>
        <w:t xml:space="preserve">This was based on the following key findings from the </w:t>
      </w:r>
      <w:r w:rsidR="00C55040">
        <w:rPr>
          <w:rFonts w:eastAsia="Calibri"/>
          <w:szCs w:val="22"/>
          <w:lang w:bidi="ar-SA"/>
        </w:rPr>
        <w:t>r</w:t>
      </w:r>
      <w:r w:rsidR="00DB194D">
        <w:rPr>
          <w:rFonts w:eastAsia="Calibri"/>
          <w:szCs w:val="22"/>
          <w:lang w:bidi="ar-SA"/>
        </w:rPr>
        <w:t>isk and technical assessment</w:t>
      </w:r>
      <w:r w:rsidR="0026717A">
        <w:rPr>
          <w:rFonts w:eastAsia="Calibri"/>
          <w:szCs w:val="22"/>
          <w:lang w:bidi="ar-SA"/>
        </w:rPr>
        <w:t xml:space="preserve"> report</w:t>
      </w:r>
      <w:r w:rsidR="00C55040">
        <w:rPr>
          <w:rFonts w:eastAsia="Calibri"/>
          <w:szCs w:val="22"/>
          <w:lang w:bidi="ar-SA"/>
        </w:rPr>
        <w:t xml:space="preserve"> (SD1)</w:t>
      </w:r>
      <w:r w:rsidR="00DB194D">
        <w:rPr>
          <w:rFonts w:eastAsia="Calibri"/>
          <w:szCs w:val="22"/>
          <w:lang w:bidi="ar-SA"/>
        </w:rPr>
        <w:t>:</w:t>
      </w:r>
    </w:p>
    <w:p w14:paraId="6471856F" w14:textId="77777777" w:rsidR="00B54757" w:rsidRDefault="00B54757" w:rsidP="00B54757">
      <w:pPr>
        <w:rPr>
          <w:rFonts w:eastAsia="Calibri"/>
          <w:szCs w:val="22"/>
          <w:lang w:bidi="ar-SA"/>
        </w:rPr>
      </w:pPr>
    </w:p>
    <w:p w14:paraId="76D5CF7A" w14:textId="2C7F167B" w:rsidR="00B54757" w:rsidRPr="00C55040" w:rsidRDefault="00B54757" w:rsidP="00C55040">
      <w:pPr>
        <w:pStyle w:val="ListParagraph"/>
        <w:numPr>
          <w:ilvl w:val="0"/>
          <w:numId w:val="11"/>
        </w:numPr>
        <w:rPr>
          <w:rFonts w:eastAsia="Calibri"/>
          <w:szCs w:val="22"/>
          <w:lang w:bidi="ar-SA"/>
        </w:rPr>
      </w:pPr>
      <w:r w:rsidRPr="0030604E">
        <w:rPr>
          <w:rFonts w:eastAsia="Calibri"/>
          <w:szCs w:val="22"/>
          <w:lang w:bidi="ar-SA"/>
        </w:rPr>
        <w:t>The applicant provided sufficient data to support the stability of soy leghemoglobin in the food matrix.</w:t>
      </w:r>
    </w:p>
    <w:p w14:paraId="654B5A29" w14:textId="77777777" w:rsidR="00BD65AC" w:rsidRPr="00BD65AC" w:rsidRDefault="006E53B7" w:rsidP="009B3571">
      <w:pPr>
        <w:pStyle w:val="ListParagraph"/>
        <w:widowControl/>
        <w:numPr>
          <w:ilvl w:val="0"/>
          <w:numId w:val="11"/>
        </w:numPr>
        <w:rPr>
          <w:rFonts w:eastAsia="Calibri"/>
          <w:szCs w:val="22"/>
          <w:lang w:bidi="ar-SA"/>
        </w:rPr>
      </w:pPr>
      <w:r>
        <w:t>A</w:t>
      </w:r>
      <w:r w:rsidR="001C50D9">
        <w:t xml:space="preserve">ssessment of the source organism, </w:t>
      </w:r>
      <w:r w:rsidR="001C50D9" w:rsidRPr="00BD65AC">
        <w:rPr>
          <w:i/>
        </w:rPr>
        <w:t>P. pastoris</w:t>
      </w:r>
      <w:r w:rsidR="001C50D9">
        <w:t xml:space="preserve"> and novel proteins, did not identify any public health and safety concerns. </w:t>
      </w:r>
    </w:p>
    <w:p w14:paraId="344CB558" w14:textId="77777777" w:rsidR="00BD65AC" w:rsidRPr="00BD65AC" w:rsidRDefault="001C50D9" w:rsidP="009B3571">
      <w:pPr>
        <w:pStyle w:val="ListParagraph"/>
        <w:widowControl/>
        <w:numPr>
          <w:ilvl w:val="0"/>
          <w:numId w:val="11"/>
        </w:numPr>
        <w:rPr>
          <w:rFonts w:eastAsia="Calibri"/>
          <w:szCs w:val="22"/>
          <w:lang w:bidi="ar-SA"/>
        </w:rPr>
      </w:pPr>
      <w:r>
        <w:t xml:space="preserve">The source organism is a well characterised yeast with a recognised safe history of use for the production of food enzymes; it is neither pathogenic nor toxigenic. </w:t>
      </w:r>
    </w:p>
    <w:p w14:paraId="2CC5FE99" w14:textId="00EB3E77" w:rsidR="00A649E4" w:rsidRPr="00A649E4" w:rsidRDefault="001C50D9" w:rsidP="009B3571">
      <w:pPr>
        <w:pStyle w:val="ListParagraph"/>
        <w:widowControl/>
        <w:numPr>
          <w:ilvl w:val="0"/>
          <w:numId w:val="11"/>
        </w:numPr>
        <w:rPr>
          <w:rFonts w:eastAsia="Calibri"/>
        </w:rPr>
      </w:pPr>
      <w:r>
        <w:lastRenderedPageBreak/>
        <w:t>A</w:t>
      </w:r>
      <w:r>
        <w:rPr>
          <w:lang w:eastAsia="en-AU" w:bidi="ar-SA"/>
        </w:rPr>
        <w:t>nalyses of the</w:t>
      </w:r>
      <w:r w:rsidRPr="00C15217">
        <w:rPr>
          <w:lang w:eastAsia="en-AU" w:bidi="ar-SA"/>
        </w:rPr>
        <w:t xml:space="preserve"> potential</w:t>
      </w:r>
      <w:r>
        <w:rPr>
          <w:lang w:eastAsia="en-AU" w:bidi="ar-SA"/>
        </w:rPr>
        <w:t xml:space="preserve"> allergenicity or</w:t>
      </w:r>
      <w:r w:rsidRPr="00C15217">
        <w:rPr>
          <w:lang w:eastAsia="en-AU" w:bidi="ar-SA"/>
        </w:rPr>
        <w:t xml:space="preserve"> t</w:t>
      </w:r>
      <w:r>
        <w:rPr>
          <w:lang w:eastAsia="en-AU" w:bidi="ar-SA"/>
        </w:rPr>
        <w:t xml:space="preserve">oxicity of all the novel proteins, including soy leghemoglobin and the </w:t>
      </w:r>
      <w:r w:rsidRPr="00BD65AC">
        <w:rPr>
          <w:i/>
          <w:lang w:eastAsia="en-AU" w:bidi="ar-SA"/>
        </w:rPr>
        <w:t>Pichia</w:t>
      </w:r>
      <w:r>
        <w:rPr>
          <w:lang w:eastAsia="en-AU" w:bidi="ar-SA"/>
        </w:rPr>
        <w:t xml:space="preserve"> proteins, did not identify any significant similarities to known allergens or toxins.</w:t>
      </w:r>
      <w:r w:rsidR="00B05B2D">
        <w:rPr>
          <w:lang w:eastAsia="en-AU" w:bidi="ar-SA"/>
        </w:rPr>
        <w:t xml:space="preserve"> </w:t>
      </w:r>
    </w:p>
    <w:p w14:paraId="5BC80005" w14:textId="371824B0" w:rsidR="00B05B2D" w:rsidRPr="00A649E4" w:rsidRDefault="00B05B2D" w:rsidP="009B3571">
      <w:pPr>
        <w:pStyle w:val="ListParagraph"/>
        <w:widowControl/>
        <w:numPr>
          <w:ilvl w:val="0"/>
          <w:numId w:val="11"/>
        </w:numPr>
        <w:rPr>
          <w:rFonts w:eastAsia="Calibri"/>
        </w:rPr>
      </w:pPr>
      <w:r w:rsidRPr="000B27BA">
        <w:rPr>
          <w:rFonts w:eastAsia="Calibri"/>
          <w:i/>
        </w:rPr>
        <w:t>In vitro</w:t>
      </w:r>
      <w:r w:rsidRPr="00B05B2D">
        <w:rPr>
          <w:rFonts w:eastAsia="Calibri"/>
        </w:rPr>
        <w:t xml:space="preserve"> genotoxicity studies in bacterial and mammalian cells and an oral toxicity study in rats</w:t>
      </w:r>
      <w:r>
        <w:rPr>
          <w:rFonts w:eastAsia="Calibri"/>
        </w:rPr>
        <w:t xml:space="preserve"> </w:t>
      </w:r>
      <w:r w:rsidRPr="00B05B2D">
        <w:rPr>
          <w:rFonts w:eastAsia="Calibri"/>
        </w:rPr>
        <w:t>confirm</w:t>
      </w:r>
      <w:r>
        <w:rPr>
          <w:rFonts w:eastAsia="Calibri"/>
        </w:rPr>
        <w:t>ed</w:t>
      </w:r>
      <w:r w:rsidRPr="00B05B2D">
        <w:rPr>
          <w:rFonts w:eastAsia="Calibri"/>
        </w:rPr>
        <w:t xml:space="preserve"> the outcome of the compositional and bioinformatic analysis. No hazard was identified in the submitted studies. LegH Prep was not genotoxic </w:t>
      </w:r>
      <w:r w:rsidRPr="000B27BA">
        <w:rPr>
          <w:rFonts w:eastAsia="Calibri"/>
        </w:rPr>
        <w:t>in vitro</w:t>
      </w:r>
      <w:r w:rsidRPr="00B05B2D">
        <w:rPr>
          <w:rFonts w:eastAsia="Calibri"/>
        </w:rPr>
        <w:t xml:space="preserve"> and did not cause adverse effects in short-term toxicity studies in rats.</w:t>
      </w:r>
      <w:r>
        <w:rPr>
          <w:rFonts w:eastAsia="Calibri"/>
        </w:rPr>
        <w:t xml:space="preserve"> </w:t>
      </w:r>
    </w:p>
    <w:p w14:paraId="7CE8FA34" w14:textId="2449D7D6" w:rsidR="00BD65AC" w:rsidRPr="00BD65AC" w:rsidRDefault="00BD65AC" w:rsidP="009B3571">
      <w:pPr>
        <w:pStyle w:val="ListParagraph"/>
        <w:widowControl/>
        <w:numPr>
          <w:ilvl w:val="0"/>
          <w:numId w:val="11"/>
        </w:numPr>
        <w:rPr>
          <w:rFonts w:eastAsia="Calibri"/>
        </w:rPr>
      </w:pPr>
      <w:r>
        <w:t xml:space="preserve">Haem iron from soy leghemoglobin is likely to have similar bioavailability to haem iron </w:t>
      </w:r>
      <w:r>
        <w:rPr>
          <w:rFonts w:cs="Arial"/>
        </w:rPr>
        <w:t>from mammalian haem proteins (e.g. myoglobin present in muscle tissue)</w:t>
      </w:r>
      <w:r>
        <w:t>.</w:t>
      </w:r>
    </w:p>
    <w:p w14:paraId="6A189091" w14:textId="5CE58CC3" w:rsidR="00C837F8" w:rsidRPr="008A62C2" w:rsidRDefault="001C50D9" w:rsidP="008A62C2">
      <w:pPr>
        <w:pStyle w:val="ListParagraph"/>
        <w:widowControl/>
        <w:numPr>
          <w:ilvl w:val="0"/>
          <w:numId w:val="11"/>
        </w:numPr>
        <w:rPr>
          <w:rFonts w:eastAsia="Calibri"/>
          <w:szCs w:val="22"/>
          <w:lang w:bidi="ar-SA"/>
        </w:rPr>
      </w:pPr>
      <w:r w:rsidRPr="008A62C2">
        <w:rPr>
          <w:rFonts w:eastAsia="Calibri"/>
          <w:szCs w:val="22"/>
          <w:lang w:bidi="ar-SA"/>
        </w:rPr>
        <w:t>Based on a conservative dietary intake assessment that likely overestimated dietary intakes for LegH Prep and iron, Australian and New Zealand consumers will not exceed the upper level of intake (UL) for iron.</w:t>
      </w:r>
    </w:p>
    <w:p w14:paraId="1EEE83FC" w14:textId="77777777" w:rsidR="008A62C2" w:rsidRDefault="008A62C2" w:rsidP="00F44F68"/>
    <w:p w14:paraId="250A9650" w14:textId="27EF1333" w:rsidR="001C50D9" w:rsidRDefault="003A6CE1" w:rsidP="00F41770">
      <w:r>
        <w:t>FSANZ has assessed the proposed use against the criteria and objectives prescribed by section 29 and 18 of the FSANZ Act.</w:t>
      </w:r>
      <w:r w:rsidR="00C837F8">
        <w:t xml:space="preserve"> In doing so, we have given regard to relevant </w:t>
      </w:r>
      <w:r w:rsidR="00C837F8" w:rsidRPr="00E125C7">
        <w:t>Ministerial Policy Guideline</w:t>
      </w:r>
      <w:r w:rsidR="00C837F8">
        <w:t>s</w:t>
      </w:r>
      <w:r w:rsidR="00DB194D">
        <w:t xml:space="preserve">, </w:t>
      </w:r>
      <w:r w:rsidR="00DB194D" w:rsidRPr="00415D53">
        <w:rPr>
          <w:rFonts w:eastAsia="Calibri"/>
          <w:i/>
          <w:szCs w:val="22"/>
          <w:lang w:val="en-AU" w:bidi="ar-SA"/>
        </w:rPr>
        <w:t>Ministerial Policy Guideline for the fortification of foods with vitamins and minerals</w:t>
      </w:r>
      <w:r w:rsidR="00DB194D">
        <w:rPr>
          <w:rStyle w:val="FootnoteReference"/>
          <w:rFonts w:eastAsia="Calibri"/>
          <w:i/>
          <w:szCs w:val="22"/>
          <w:lang w:val="en-AU" w:bidi="ar-SA"/>
        </w:rPr>
        <w:footnoteReference w:id="5"/>
      </w:r>
      <w:r w:rsidR="00DB194D">
        <w:rPr>
          <w:rFonts w:eastAsia="Calibri"/>
          <w:szCs w:val="22"/>
          <w:lang w:val="en-AU" w:bidi="ar-SA"/>
        </w:rPr>
        <w:t xml:space="preserve"> in relation to soy leghemoglobin as a form of iron</w:t>
      </w:r>
      <w:r w:rsidR="00C837F8">
        <w:t>.</w:t>
      </w:r>
      <w:r w:rsidR="00DB194D">
        <w:t xml:space="preserve"> FSANZ considers</w:t>
      </w:r>
      <w:r w:rsidR="0026717A">
        <w:t xml:space="preserve"> the requirements of this Guideline ha</w:t>
      </w:r>
      <w:r w:rsidR="009A6D07">
        <w:t>ve</w:t>
      </w:r>
      <w:r w:rsidR="0026717A">
        <w:t xml:space="preserve"> been met.</w:t>
      </w:r>
    </w:p>
    <w:p w14:paraId="78EBAC89" w14:textId="77777777" w:rsidR="0030604E" w:rsidRDefault="0030604E" w:rsidP="00F44F68">
      <w:pPr>
        <w:pStyle w:val="FSBullet1"/>
        <w:numPr>
          <w:ilvl w:val="0"/>
          <w:numId w:val="0"/>
        </w:numPr>
      </w:pPr>
    </w:p>
    <w:p w14:paraId="195AD226" w14:textId="401DEB1B" w:rsidR="00F44F68" w:rsidRDefault="00835258" w:rsidP="00F44F68">
      <w:pPr>
        <w:pStyle w:val="FSBullet1"/>
        <w:numPr>
          <w:ilvl w:val="0"/>
          <w:numId w:val="0"/>
        </w:numPr>
      </w:pPr>
      <w:r>
        <w:t xml:space="preserve">Based on that assessment, </w:t>
      </w:r>
      <w:r w:rsidR="00F44F68">
        <w:t xml:space="preserve">FSANZ </w:t>
      </w:r>
      <w:r w:rsidR="00C55040">
        <w:t xml:space="preserve">has </w:t>
      </w:r>
      <w:r w:rsidR="00F44F68">
        <w:t>prepare</w:t>
      </w:r>
      <w:r w:rsidR="00C55040">
        <w:t>d</w:t>
      </w:r>
      <w:r w:rsidR="00F44F68">
        <w:t xml:space="preserve"> a draft variation</w:t>
      </w:r>
      <w:r w:rsidR="00F51998">
        <w:t xml:space="preserve"> to the Code</w:t>
      </w:r>
      <w:r w:rsidR="00F44F68">
        <w:t xml:space="preserve"> to permit the voluntary addition of soy leghemoglobin in meat analogue products</w:t>
      </w:r>
      <w:r w:rsidR="008A62C2">
        <w:t xml:space="preserve"> at</w:t>
      </w:r>
      <w:r w:rsidR="008A62C2">
        <w:rPr>
          <w:rFonts w:eastAsia="Calibri"/>
          <w:szCs w:val="22"/>
        </w:rPr>
        <w:t xml:space="preserve"> levels up to 0.8% in raw product</w:t>
      </w:r>
      <w:r w:rsidR="00F44F68">
        <w:t xml:space="preserve">. FSANZ now seeks comments on </w:t>
      </w:r>
      <w:r w:rsidR="002E6C56">
        <w:t xml:space="preserve">this </w:t>
      </w:r>
      <w:r w:rsidR="00F44F68">
        <w:t>draft variation, which is based on the regulatory approach summarised as follows</w:t>
      </w:r>
      <w:r w:rsidR="002E6C56">
        <w:t>:</w:t>
      </w:r>
      <w:r w:rsidR="00F44F68">
        <w:t xml:space="preserve"> </w:t>
      </w:r>
    </w:p>
    <w:p w14:paraId="7FA8639B" w14:textId="77777777" w:rsidR="00F44F68" w:rsidRDefault="00F44F68" w:rsidP="00F44F68">
      <w:pPr>
        <w:pStyle w:val="FSBullet1"/>
        <w:numPr>
          <w:ilvl w:val="0"/>
          <w:numId w:val="0"/>
        </w:numPr>
      </w:pPr>
    </w:p>
    <w:p w14:paraId="36B1B3D3" w14:textId="77777777" w:rsidR="00FC6E9C" w:rsidRPr="00CD6F1F" w:rsidRDefault="00FC6E9C" w:rsidP="00FC6E9C">
      <w:pPr>
        <w:pStyle w:val="FSBullet1"/>
        <w:numPr>
          <w:ilvl w:val="0"/>
          <w:numId w:val="12"/>
        </w:numPr>
        <w:rPr>
          <w:rFonts w:ascii="Calibri" w:hAnsi="Calibri" w:cs="Calibri"/>
          <w:lang w:eastAsia="en-GB"/>
        </w:rPr>
      </w:pPr>
      <w:r>
        <w:rPr>
          <w:lang w:eastAsia="en-GB"/>
        </w:rPr>
        <w:t xml:space="preserve">The soy leghemoglobin preparation (also known as LegH Prep) is defined in subsection S26—2(2) as ‘a cell lysate preparation that is derived from </w:t>
      </w:r>
      <w:r w:rsidRPr="006C3CF6">
        <w:rPr>
          <w:i/>
          <w:lang w:eastAsia="en-GB"/>
        </w:rPr>
        <w:t>Pichia Pastoris</w:t>
      </w:r>
      <w:r>
        <w:rPr>
          <w:lang w:eastAsia="en-GB"/>
        </w:rPr>
        <w:t xml:space="preserve"> containing the gene for leghemoglobin c2 from </w:t>
      </w:r>
      <w:r w:rsidRPr="006C3CF6">
        <w:rPr>
          <w:i/>
          <w:lang w:eastAsia="en-GB"/>
        </w:rPr>
        <w:t>Glycine max</w:t>
      </w:r>
      <w:r>
        <w:rPr>
          <w:lang w:eastAsia="en-GB"/>
        </w:rPr>
        <w:t>; and contains soy leghemoglobin’.</w:t>
      </w:r>
    </w:p>
    <w:p w14:paraId="5A4C6DA8" w14:textId="77777777" w:rsidR="00FC6E9C" w:rsidRPr="00385DCA" w:rsidRDefault="00FC6E9C" w:rsidP="00FC6E9C">
      <w:pPr>
        <w:pStyle w:val="FSBullet1"/>
        <w:numPr>
          <w:ilvl w:val="0"/>
          <w:numId w:val="12"/>
        </w:numPr>
        <w:rPr>
          <w:rFonts w:ascii="Calibri" w:hAnsi="Calibri" w:cs="Calibri"/>
          <w:lang w:eastAsia="en-GB"/>
        </w:rPr>
      </w:pPr>
      <w:r>
        <w:rPr>
          <w:lang w:eastAsia="en-GB"/>
        </w:rPr>
        <w:t>Permission for</w:t>
      </w:r>
      <w:r w:rsidRPr="00DF75C6">
        <w:rPr>
          <w:lang w:eastAsia="en-GB"/>
        </w:rPr>
        <w:t xml:space="preserve"> </w:t>
      </w:r>
      <w:r>
        <w:rPr>
          <w:lang w:eastAsia="en-GB"/>
        </w:rPr>
        <w:t xml:space="preserve">the soy leghemoglobin preparation (LegH Prep) as a </w:t>
      </w:r>
      <w:r w:rsidRPr="00DF75C6">
        <w:rPr>
          <w:lang w:eastAsia="en-GB"/>
        </w:rPr>
        <w:t>food produced using gene technology</w:t>
      </w:r>
      <w:r>
        <w:rPr>
          <w:lang w:eastAsia="en-GB"/>
        </w:rPr>
        <w:t xml:space="preserve"> including</w:t>
      </w:r>
      <w:r w:rsidRPr="00DF75C6">
        <w:rPr>
          <w:lang w:eastAsia="en-GB"/>
        </w:rPr>
        <w:t xml:space="preserve"> </w:t>
      </w:r>
      <w:r>
        <w:rPr>
          <w:lang w:eastAsia="en-GB"/>
        </w:rPr>
        <w:t xml:space="preserve">the same </w:t>
      </w:r>
      <w:r w:rsidRPr="0091535D">
        <w:t xml:space="preserve">gene-gene donor </w:t>
      </w:r>
      <w:r>
        <w:t xml:space="preserve">source, and specific conditions of use </w:t>
      </w:r>
      <w:r>
        <w:rPr>
          <w:lang w:eastAsia="en-GB"/>
        </w:rPr>
        <w:t xml:space="preserve">are </w:t>
      </w:r>
      <w:r>
        <w:rPr>
          <w:iCs/>
          <w:lang w:eastAsia="en-GB"/>
        </w:rPr>
        <w:t>inserted in a table in subsection S26—3(7) (</w:t>
      </w:r>
      <w:r w:rsidRPr="00385BC2">
        <w:rPr>
          <w:iCs/>
          <w:lang w:eastAsia="en-GB"/>
        </w:rPr>
        <w:t>Food produced using gene technology of microbial origin</w:t>
      </w:r>
      <w:r>
        <w:rPr>
          <w:iCs/>
          <w:lang w:eastAsia="en-GB"/>
        </w:rPr>
        <w:t xml:space="preserve">). </w:t>
      </w:r>
    </w:p>
    <w:p w14:paraId="1E3F28EB" w14:textId="0D570022" w:rsidR="00F44F68" w:rsidRPr="004474CF" w:rsidRDefault="00F44F68" w:rsidP="009B3571">
      <w:pPr>
        <w:pStyle w:val="FSBullet1"/>
        <w:numPr>
          <w:ilvl w:val="0"/>
          <w:numId w:val="12"/>
        </w:numPr>
        <w:rPr>
          <w:rFonts w:ascii="Calibri" w:hAnsi="Calibri" w:cs="Calibri"/>
          <w:lang w:eastAsia="en-GB"/>
        </w:rPr>
      </w:pPr>
      <w:r>
        <w:t xml:space="preserve">Soy leghemoglobin </w:t>
      </w:r>
      <w:r w:rsidR="006C3CF6">
        <w:t xml:space="preserve">is </w:t>
      </w:r>
      <w:r w:rsidR="00385BC2">
        <w:t xml:space="preserve">permitted as </w:t>
      </w:r>
      <w:r w:rsidR="00046F2F">
        <w:t xml:space="preserve">a </w:t>
      </w:r>
      <w:r w:rsidR="00385BC2" w:rsidRPr="006C3CF6">
        <w:t xml:space="preserve">substance </w:t>
      </w:r>
      <w:r w:rsidR="00385BC2">
        <w:rPr>
          <w:i/>
        </w:rPr>
        <w:t>use</w:t>
      </w:r>
      <w:r w:rsidR="00046F2F">
        <w:rPr>
          <w:i/>
        </w:rPr>
        <w:t>d</w:t>
      </w:r>
      <w:r w:rsidR="00385BC2">
        <w:rPr>
          <w:i/>
        </w:rPr>
        <w:t xml:space="preserve"> </w:t>
      </w:r>
      <w:r w:rsidR="00046F2F">
        <w:rPr>
          <w:i/>
        </w:rPr>
        <w:t xml:space="preserve">as </w:t>
      </w:r>
      <w:r w:rsidR="00385BC2">
        <w:rPr>
          <w:i/>
        </w:rPr>
        <w:t>a</w:t>
      </w:r>
      <w:r>
        <w:t xml:space="preserve"> </w:t>
      </w:r>
      <w:r w:rsidR="002E6C56" w:rsidRPr="00385BC2">
        <w:rPr>
          <w:i/>
        </w:rPr>
        <w:t xml:space="preserve">nutritive </w:t>
      </w:r>
      <w:r w:rsidR="00046F2F">
        <w:rPr>
          <w:i/>
        </w:rPr>
        <w:t xml:space="preserve">substance </w:t>
      </w:r>
      <w:r w:rsidR="00422173">
        <w:t xml:space="preserve">only </w:t>
      </w:r>
      <w:r w:rsidR="00385BC2">
        <w:t xml:space="preserve">in meat analogue products </w:t>
      </w:r>
      <w:r w:rsidR="00422173">
        <w:t>to which subsection S17—4 applies</w:t>
      </w:r>
      <w:r w:rsidR="00487BB2">
        <w:t xml:space="preserve">, </w:t>
      </w:r>
      <w:r w:rsidR="00487BB2">
        <w:rPr>
          <w:szCs w:val="22"/>
          <w:lang w:val="en-AU" w:eastAsia="en-GB"/>
        </w:rPr>
        <w:t xml:space="preserve">with </w:t>
      </w:r>
      <w:r w:rsidR="00487BB2" w:rsidRPr="006E56C1">
        <w:rPr>
          <w:szCs w:val="22"/>
          <w:lang w:val="en-AU" w:eastAsia="en-GB"/>
        </w:rPr>
        <w:t xml:space="preserve">a maximum permitted use level </w:t>
      </w:r>
      <w:r w:rsidR="00487BB2">
        <w:rPr>
          <w:szCs w:val="22"/>
          <w:lang w:val="en-AU" w:eastAsia="en-GB"/>
        </w:rPr>
        <w:t>of</w:t>
      </w:r>
      <w:r w:rsidR="00487BB2" w:rsidRPr="006E56C1">
        <w:rPr>
          <w:szCs w:val="22"/>
          <w:lang w:val="en-AU" w:eastAsia="en-GB"/>
        </w:rPr>
        <w:t xml:space="preserve"> 0.8% </w:t>
      </w:r>
      <w:r w:rsidR="00487BB2">
        <w:rPr>
          <w:szCs w:val="22"/>
          <w:lang w:val="en-AU" w:eastAsia="en-GB"/>
        </w:rPr>
        <w:t>in raw product,</w:t>
      </w:r>
      <w:r w:rsidR="00385BC2">
        <w:t xml:space="preserve"> </w:t>
      </w:r>
      <w:r w:rsidR="00046F2F">
        <w:t xml:space="preserve">in accordance with </w:t>
      </w:r>
      <w:r w:rsidR="00385BC2">
        <w:t>Standard 1.3.2</w:t>
      </w:r>
      <w:r w:rsidR="00487BB2">
        <w:t xml:space="preserve">, and </w:t>
      </w:r>
      <w:r w:rsidR="00385DCA">
        <w:t>as a permitted form</w:t>
      </w:r>
      <w:r w:rsidR="00487BB2">
        <w:t xml:space="preserve"> of </w:t>
      </w:r>
      <w:r w:rsidR="00046F2F">
        <w:t xml:space="preserve">iron </w:t>
      </w:r>
      <w:r w:rsidR="00A17B1E">
        <w:t>in</w:t>
      </w:r>
      <w:r w:rsidR="00487BB2">
        <w:t xml:space="preserve"> </w:t>
      </w:r>
      <w:r w:rsidR="00515AA0">
        <w:t xml:space="preserve">the table to section </w:t>
      </w:r>
      <w:r w:rsidR="00046F2F">
        <w:t>S</w:t>
      </w:r>
      <w:r w:rsidR="00487BB2">
        <w:t>17</w:t>
      </w:r>
      <w:r w:rsidR="00385DCA">
        <w:t>—3</w:t>
      </w:r>
      <w:r w:rsidR="00487BB2">
        <w:t>.</w:t>
      </w:r>
    </w:p>
    <w:p w14:paraId="6587D830" w14:textId="3546226E" w:rsidR="00385BC2" w:rsidRDefault="00385DCA" w:rsidP="009B3571">
      <w:pPr>
        <w:pStyle w:val="FSBullet1"/>
        <w:numPr>
          <w:ilvl w:val="0"/>
          <w:numId w:val="5"/>
        </w:numPr>
        <w:rPr>
          <w:szCs w:val="22"/>
          <w:lang w:eastAsia="en-GB"/>
        </w:rPr>
      </w:pPr>
      <w:r>
        <w:rPr>
          <w:szCs w:val="22"/>
          <w:lang w:eastAsia="en-GB"/>
        </w:rPr>
        <w:t>S</w:t>
      </w:r>
      <w:r w:rsidR="001C50D9" w:rsidRPr="006E56C1">
        <w:rPr>
          <w:szCs w:val="22"/>
          <w:lang w:eastAsia="en-GB"/>
        </w:rPr>
        <w:t xml:space="preserve">pecifications </w:t>
      </w:r>
      <w:r w:rsidR="00385BC2">
        <w:rPr>
          <w:szCs w:val="22"/>
          <w:lang w:eastAsia="en-GB"/>
        </w:rPr>
        <w:t xml:space="preserve">for </w:t>
      </w:r>
      <w:r w:rsidR="004E1280">
        <w:rPr>
          <w:szCs w:val="22"/>
          <w:lang w:eastAsia="en-GB"/>
        </w:rPr>
        <w:t xml:space="preserve">the identity and purity of </w:t>
      </w:r>
      <w:r w:rsidR="00412F44">
        <w:rPr>
          <w:szCs w:val="22"/>
          <w:lang w:eastAsia="en-GB"/>
        </w:rPr>
        <w:t>a</w:t>
      </w:r>
      <w:r w:rsidR="00EB75BA">
        <w:rPr>
          <w:szCs w:val="22"/>
          <w:lang w:eastAsia="en-GB"/>
        </w:rPr>
        <w:t xml:space="preserve"> soy leghemoglobin preparation</w:t>
      </w:r>
      <w:r w:rsidR="00412F44">
        <w:rPr>
          <w:szCs w:val="22"/>
          <w:lang w:eastAsia="en-GB"/>
        </w:rPr>
        <w:t xml:space="preserve">, </w:t>
      </w:r>
      <w:r w:rsidR="00385BC2">
        <w:rPr>
          <w:szCs w:val="22"/>
          <w:lang w:eastAsia="en-GB"/>
        </w:rPr>
        <w:t xml:space="preserve">as </w:t>
      </w:r>
      <w:r w:rsidR="00412F44">
        <w:rPr>
          <w:szCs w:val="22"/>
          <w:lang w:eastAsia="en-GB"/>
        </w:rPr>
        <w:t xml:space="preserve">it is </w:t>
      </w:r>
      <w:r w:rsidR="004E1280">
        <w:rPr>
          <w:szCs w:val="22"/>
          <w:lang w:eastAsia="en-GB"/>
        </w:rPr>
        <w:t>a</w:t>
      </w:r>
      <w:r w:rsidR="00385BC2">
        <w:rPr>
          <w:szCs w:val="22"/>
          <w:lang w:eastAsia="en-GB"/>
        </w:rPr>
        <w:t xml:space="preserve"> delive</w:t>
      </w:r>
      <w:r w:rsidR="00412F44">
        <w:rPr>
          <w:szCs w:val="22"/>
          <w:lang w:eastAsia="en-GB"/>
        </w:rPr>
        <w:t>ry vessel for soy leghemoglobin,</w:t>
      </w:r>
      <w:r>
        <w:rPr>
          <w:szCs w:val="22"/>
          <w:lang w:eastAsia="en-GB"/>
        </w:rPr>
        <w:t xml:space="preserve"> </w:t>
      </w:r>
      <w:r w:rsidR="009A6D07">
        <w:rPr>
          <w:szCs w:val="22"/>
          <w:lang w:eastAsia="en-GB"/>
        </w:rPr>
        <w:t xml:space="preserve">are </w:t>
      </w:r>
      <w:r>
        <w:rPr>
          <w:szCs w:val="22"/>
          <w:lang w:eastAsia="en-GB"/>
        </w:rPr>
        <w:t>provided in Schedule 3</w:t>
      </w:r>
      <w:r w:rsidR="001C50D9" w:rsidRPr="006E56C1">
        <w:rPr>
          <w:szCs w:val="22"/>
          <w:lang w:eastAsia="en-GB"/>
        </w:rPr>
        <w:t xml:space="preserve">. </w:t>
      </w:r>
    </w:p>
    <w:p w14:paraId="647BAFFF" w14:textId="56F2B5A5" w:rsidR="00526104" w:rsidRPr="00385BC2" w:rsidRDefault="00B95C10" w:rsidP="009B3571">
      <w:pPr>
        <w:pStyle w:val="FSBullet1"/>
        <w:numPr>
          <w:ilvl w:val="0"/>
          <w:numId w:val="5"/>
        </w:numPr>
        <w:rPr>
          <w:szCs w:val="22"/>
          <w:lang w:eastAsia="en-GB"/>
        </w:rPr>
      </w:pPr>
      <w:r>
        <w:t>E</w:t>
      </w:r>
      <w:r w:rsidR="00526104">
        <w:t xml:space="preserve">xisting labelling requirements </w:t>
      </w:r>
      <w:r>
        <w:t xml:space="preserve">apply to </w:t>
      </w:r>
      <w:r w:rsidR="00F43C1B">
        <w:t>enable</w:t>
      </w:r>
      <w:r w:rsidR="00526104">
        <w:t xml:space="preserve"> consumers</w:t>
      </w:r>
      <w:r w:rsidR="00F43C1B">
        <w:t xml:space="preserve"> to</w:t>
      </w:r>
      <w:r w:rsidR="00F41770">
        <w:t xml:space="preserve"> </w:t>
      </w:r>
      <w:r>
        <w:t>make</w:t>
      </w:r>
      <w:r w:rsidR="00526104">
        <w:t xml:space="preserve"> informed </w:t>
      </w:r>
      <w:r>
        <w:t>choice</w:t>
      </w:r>
      <w:r w:rsidR="00F43C1B">
        <w:t>.</w:t>
      </w:r>
    </w:p>
    <w:p w14:paraId="1D280CA6" w14:textId="77777777" w:rsidR="00487BB2" w:rsidRDefault="00487BB2" w:rsidP="00526104">
      <w:pPr>
        <w:widowControl/>
        <w:rPr>
          <w:lang w:eastAsia="en-AU"/>
        </w:rPr>
      </w:pPr>
    </w:p>
    <w:p w14:paraId="28393B59" w14:textId="0BB45A3A" w:rsidR="001C50D9" w:rsidRDefault="00487BB2" w:rsidP="00544E23">
      <w:pPr>
        <w:rPr>
          <w:lang w:eastAsia="en-AU"/>
        </w:rPr>
      </w:pPr>
      <w:r>
        <w:rPr>
          <w:lang w:val="en-AU"/>
        </w:rPr>
        <w:t>The proposed permission</w:t>
      </w:r>
      <w:r w:rsidR="00866234">
        <w:rPr>
          <w:lang w:val="en-AU"/>
        </w:rPr>
        <w:t>s</w:t>
      </w:r>
      <w:r>
        <w:rPr>
          <w:lang w:val="en-AU"/>
        </w:rPr>
        <w:t xml:space="preserve"> support </w:t>
      </w:r>
      <w:r w:rsidR="0076635C">
        <w:rPr>
          <w:lang w:val="en-AU"/>
        </w:rPr>
        <w:t xml:space="preserve">greater </w:t>
      </w:r>
      <w:r>
        <w:rPr>
          <w:lang w:val="en-AU"/>
        </w:rPr>
        <w:t>international consistency and trade opportunities, as soy leghemoglobin is</w:t>
      </w:r>
      <w:r w:rsidR="0076635C">
        <w:rPr>
          <w:lang w:val="en-AU"/>
        </w:rPr>
        <w:t xml:space="preserve"> currently</w:t>
      </w:r>
      <w:r>
        <w:rPr>
          <w:lang w:val="en-AU"/>
        </w:rPr>
        <w:t xml:space="preserve"> permitted for use in meat analogue products in overseas markets</w:t>
      </w:r>
      <w:r w:rsidR="00203E62">
        <w:rPr>
          <w:lang w:val="en-AU"/>
        </w:rPr>
        <w:t xml:space="preserve">. </w:t>
      </w:r>
      <w:r w:rsidR="00F51998">
        <w:rPr>
          <w:lang w:val="en-AU"/>
        </w:rPr>
        <w:t xml:space="preserve">The permissions also </w:t>
      </w:r>
      <w:r w:rsidR="00203E62">
        <w:rPr>
          <w:lang w:val="en-AU"/>
        </w:rPr>
        <w:t>provide alternative o</w:t>
      </w:r>
      <w:r>
        <w:rPr>
          <w:lang w:val="en-AU"/>
        </w:rPr>
        <w:t xml:space="preserve">ptions to consumers wishing to reduce or eliminate their intake of meat, </w:t>
      </w:r>
      <w:r w:rsidR="00F51998">
        <w:rPr>
          <w:lang w:val="en-AU"/>
        </w:rPr>
        <w:t>and promotes</w:t>
      </w:r>
      <w:r w:rsidR="005F039A">
        <w:rPr>
          <w:lang w:val="en-AU"/>
        </w:rPr>
        <w:t xml:space="preserve"> an innovative</w:t>
      </w:r>
      <w:r w:rsidR="0076635C">
        <w:rPr>
          <w:lang w:val="en-AU"/>
        </w:rPr>
        <w:t xml:space="preserve"> and competitive</w:t>
      </w:r>
      <w:r w:rsidR="005F039A">
        <w:rPr>
          <w:lang w:val="en-AU"/>
        </w:rPr>
        <w:t xml:space="preserve"> industry in Australia and New Zealand</w:t>
      </w:r>
      <w:r>
        <w:rPr>
          <w:lang w:val="en-AU"/>
        </w:rPr>
        <w:t>.</w:t>
      </w:r>
      <w:r w:rsidR="0060021C">
        <w:rPr>
          <w:lang w:eastAsia="en-AU"/>
        </w:rPr>
        <w:br w:type="page"/>
      </w:r>
    </w:p>
    <w:p w14:paraId="3403699A" w14:textId="77777777" w:rsidR="002A5F8B" w:rsidRPr="000B6AF2" w:rsidRDefault="00F33BB8" w:rsidP="000B6AF2">
      <w:pPr>
        <w:pStyle w:val="Heading1"/>
      </w:pPr>
      <w:bookmarkStart w:id="12" w:name="_Toc41576642"/>
      <w:bookmarkStart w:id="13" w:name="_Toc42875205"/>
      <w:bookmarkStart w:id="14" w:name="_Toc43128110"/>
      <w:r>
        <w:lastRenderedPageBreak/>
        <w:t>1</w:t>
      </w:r>
      <w:r w:rsidR="001542D8">
        <w:tab/>
      </w:r>
      <w:r w:rsidR="002A5F8B" w:rsidRPr="000B6AF2">
        <w:t>Introduction</w:t>
      </w:r>
      <w:bookmarkEnd w:id="10"/>
      <w:bookmarkEnd w:id="11"/>
      <w:bookmarkEnd w:id="12"/>
      <w:bookmarkEnd w:id="13"/>
      <w:bookmarkEnd w:id="14"/>
    </w:p>
    <w:p w14:paraId="01F6FF4F" w14:textId="6F8FC4BB" w:rsidR="0053464E" w:rsidRPr="0053464E" w:rsidRDefault="00F33BB8" w:rsidP="00A56E34">
      <w:pPr>
        <w:pStyle w:val="Heading2"/>
      </w:pPr>
      <w:bookmarkStart w:id="15" w:name="_Toc300761890"/>
      <w:bookmarkStart w:id="16" w:name="_Toc300933419"/>
      <w:bookmarkStart w:id="17" w:name="_Toc41576643"/>
      <w:bookmarkStart w:id="18" w:name="_Toc42875206"/>
      <w:bookmarkStart w:id="19" w:name="_Toc43128111"/>
      <w:r>
        <w:t>1</w:t>
      </w:r>
      <w:r w:rsidR="0053464E" w:rsidRPr="0053464E">
        <w:t>.1</w:t>
      </w:r>
      <w:r w:rsidR="0053464E" w:rsidRPr="0053464E">
        <w:tab/>
        <w:t>The Applicant</w:t>
      </w:r>
      <w:bookmarkEnd w:id="15"/>
      <w:bookmarkEnd w:id="16"/>
      <w:bookmarkEnd w:id="17"/>
      <w:bookmarkEnd w:id="18"/>
      <w:bookmarkEnd w:id="19"/>
    </w:p>
    <w:p w14:paraId="6C1A879E" w14:textId="442D9897" w:rsidR="00F679A6" w:rsidRDefault="00F679A6" w:rsidP="00F679A6">
      <w:pPr>
        <w:widowControl/>
        <w:rPr>
          <w:b/>
          <w:bCs/>
          <w:lang w:val="en-AU"/>
        </w:rPr>
      </w:pPr>
      <w:bookmarkStart w:id="20" w:name="_Toc300761891"/>
      <w:bookmarkStart w:id="21" w:name="_Toc300933420"/>
      <w:r w:rsidRPr="001D02CB">
        <w:rPr>
          <w:lang w:val="en-AU"/>
        </w:rPr>
        <w:t>Impossibl</w:t>
      </w:r>
      <w:r w:rsidR="00E1362C">
        <w:rPr>
          <w:lang w:val="en-AU"/>
        </w:rPr>
        <w:t>e</w:t>
      </w:r>
      <w:r w:rsidRPr="001D02CB">
        <w:rPr>
          <w:lang w:val="en-AU"/>
        </w:rPr>
        <w:t xml:space="preserve"> Foods Inc. (Impossible Foods) </w:t>
      </w:r>
      <w:r>
        <w:rPr>
          <w:lang w:val="en-AU"/>
        </w:rPr>
        <w:t>was founded</w:t>
      </w:r>
      <w:r w:rsidRPr="001D02CB">
        <w:rPr>
          <w:lang w:val="en-AU"/>
        </w:rPr>
        <w:t xml:space="preserve"> in 2011 </w:t>
      </w:r>
      <w:r>
        <w:rPr>
          <w:lang w:val="en-AU"/>
        </w:rPr>
        <w:t xml:space="preserve">in the United States (US) </w:t>
      </w:r>
      <w:r w:rsidRPr="001D02CB">
        <w:rPr>
          <w:lang w:val="en-AU"/>
        </w:rPr>
        <w:t>with the goal of producing sustainable plant-b</w:t>
      </w:r>
      <w:r>
        <w:rPr>
          <w:lang w:val="en-AU"/>
        </w:rPr>
        <w:t>ased alternatives to meat, fish and dairy foods.</w:t>
      </w:r>
      <w:r w:rsidRPr="001D02CB">
        <w:rPr>
          <w:lang w:val="en-AU"/>
        </w:rPr>
        <w:t xml:space="preserve"> The first product to be commercialised by the company was t</w:t>
      </w:r>
      <w:r w:rsidR="00E1362C">
        <w:rPr>
          <w:lang w:val="en-AU"/>
        </w:rPr>
        <w:t>he Impossible</w:t>
      </w:r>
      <w:r w:rsidRPr="001D02CB">
        <w:rPr>
          <w:lang w:val="en-AU"/>
        </w:rPr>
        <w:t xml:space="preserve"> Burger</w:t>
      </w:r>
      <w:r w:rsidR="00F5307F">
        <w:rPr>
          <w:lang w:val="en-AU"/>
        </w:rPr>
        <w:t xml:space="preserve"> in 2016.</w:t>
      </w:r>
    </w:p>
    <w:p w14:paraId="3B24261F" w14:textId="7BC0DE56" w:rsidR="0053464E" w:rsidRPr="0053464E" w:rsidRDefault="00F33BB8" w:rsidP="00A56E34">
      <w:pPr>
        <w:pStyle w:val="Heading2"/>
      </w:pPr>
      <w:bookmarkStart w:id="22" w:name="_Toc41576644"/>
      <w:bookmarkStart w:id="23" w:name="_Toc42875207"/>
      <w:bookmarkStart w:id="24" w:name="_Toc43128112"/>
      <w:r>
        <w:t>1</w:t>
      </w:r>
      <w:r w:rsidR="0053464E" w:rsidRPr="0053464E">
        <w:t>.2</w:t>
      </w:r>
      <w:r w:rsidR="0053464E" w:rsidRPr="0053464E">
        <w:tab/>
      </w:r>
      <w:r w:rsidR="0053464E" w:rsidRPr="00746C74">
        <w:t>The Application</w:t>
      </w:r>
      <w:bookmarkEnd w:id="20"/>
      <w:bookmarkEnd w:id="21"/>
      <w:bookmarkEnd w:id="22"/>
      <w:bookmarkEnd w:id="23"/>
      <w:bookmarkEnd w:id="24"/>
    </w:p>
    <w:p w14:paraId="626A8033" w14:textId="3E99A187" w:rsidR="00F679A6" w:rsidRDefault="006F4DB6" w:rsidP="00F679A6">
      <w:pPr>
        <w:widowControl/>
      </w:pPr>
      <w:r>
        <w:t xml:space="preserve">The </w:t>
      </w:r>
      <w:r w:rsidR="00565558">
        <w:t>applicant seeks</w:t>
      </w:r>
      <w:r>
        <w:t xml:space="preserve"> t</w:t>
      </w:r>
      <w:r w:rsidR="00F679A6">
        <w:t xml:space="preserve">o amend the Australia New Zealand Food Standards Code (the Code) to permit the </w:t>
      </w:r>
      <w:r>
        <w:t xml:space="preserve">voluntary </w:t>
      </w:r>
      <w:r w:rsidR="00F679A6">
        <w:t xml:space="preserve">use of soy leghemoglobin, produced by genetically modified (GM) </w:t>
      </w:r>
      <w:r w:rsidR="00F679A6" w:rsidRPr="007B2989">
        <w:t>yeast</w:t>
      </w:r>
      <w:r w:rsidR="00F679A6">
        <w:t xml:space="preserve"> </w:t>
      </w:r>
      <w:r w:rsidR="00F679A6" w:rsidRPr="002A2A78">
        <w:rPr>
          <w:i/>
        </w:rPr>
        <w:t xml:space="preserve">Pichia </w:t>
      </w:r>
      <w:r w:rsidR="00F679A6">
        <w:rPr>
          <w:i/>
        </w:rPr>
        <w:t>p</w:t>
      </w:r>
      <w:r w:rsidR="00F679A6" w:rsidRPr="002A2A78">
        <w:rPr>
          <w:i/>
        </w:rPr>
        <w:t>astoris</w:t>
      </w:r>
      <w:r w:rsidR="00F679A6">
        <w:rPr>
          <w:i/>
        </w:rPr>
        <w:t xml:space="preserve"> (P. pastoris)</w:t>
      </w:r>
      <w:r w:rsidR="00F679A6">
        <w:t xml:space="preserve"> as a component in meat analogue products </w:t>
      </w:r>
      <w:r w:rsidR="00E1362C">
        <w:t>(including the Impossible</w:t>
      </w:r>
      <w:r w:rsidR="00F679A6" w:rsidRPr="00E8181E">
        <w:t xml:space="preserve"> Burger, meatballs, sausages, and as fillings in buns and dumplings).</w:t>
      </w:r>
      <w:r w:rsidR="00F679A6" w:rsidRPr="00192840">
        <w:t xml:space="preserve"> </w:t>
      </w:r>
      <w:r w:rsidR="00F679A6">
        <w:t>This yeast has been modified to express</w:t>
      </w:r>
      <w:r w:rsidR="00F679A6" w:rsidRPr="004517C5">
        <w:t xml:space="preserve"> the </w:t>
      </w:r>
      <w:r w:rsidR="00F679A6">
        <w:t>leghaemoglobin</w:t>
      </w:r>
      <w:r w:rsidR="00F679A6" w:rsidRPr="004517C5">
        <w:t xml:space="preserve"> gene from </w:t>
      </w:r>
      <w:r w:rsidR="00F679A6">
        <w:rPr>
          <w:lang w:eastAsia="en-AU" w:bidi="ar-SA"/>
        </w:rPr>
        <w:t>soybean</w:t>
      </w:r>
      <w:r w:rsidR="00F679A6" w:rsidRPr="004517C5">
        <w:rPr>
          <w:i/>
        </w:rPr>
        <w:t xml:space="preserve"> (Glycine max</w:t>
      </w:r>
      <w:r w:rsidR="00F679A6" w:rsidRPr="00017C6D">
        <w:t>)</w:t>
      </w:r>
      <w:r w:rsidR="00F679A6" w:rsidRPr="006765A6">
        <w:t xml:space="preserve"> and other host proteins </w:t>
      </w:r>
      <w:r w:rsidR="00F679A6">
        <w:t>that support the expression of leghaemoglobin</w:t>
      </w:r>
      <w:r w:rsidR="00F679A6" w:rsidRPr="004517C5">
        <w:t xml:space="preserve">. </w:t>
      </w:r>
      <w:r w:rsidR="00F679A6">
        <w:t>Products containing soy leghemoglobin are intended for consumption by the general population aged 2 years and older.</w:t>
      </w:r>
    </w:p>
    <w:p w14:paraId="2AC517C5" w14:textId="77777777" w:rsidR="00F679A6" w:rsidRDefault="00F679A6" w:rsidP="00F679A6">
      <w:pPr>
        <w:widowControl/>
      </w:pPr>
    </w:p>
    <w:p w14:paraId="403CD493" w14:textId="42145AC2" w:rsidR="00CE61A2" w:rsidRDefault="00CE61A2" w:rsidP="00CE61A2">
      <w:pPr>
        <w:widowControl/>
        <w:rPr>
          <w:lang w:val="en-AU"/>
        </w:rPr>
      </w:pPr>
      <w:r>
        <w:rPr>
          <w:lang w:val="en-AU"/>
        </w:rPr>
        <w:t xml:space="preserve">The application sought to include soy leghemoglobin in the Code as a novel food (Schedule 25), a nutritive substance (Standard 1.3.2 and Schedule 17), and food produced using gene technology (Schedule 26). Identity and purity specifications were provided for LegH Prep (Schedule 3). </w:t>
      </w:r>
      <w:r>
        <w:t xml:space="preserve">FSANZ understands the applicant has applied for patents in Australia and New Zealand for the methods of production and specifications for their meat analogue products, LegH Prep </w:t>
      </w:r>
      <w:r w:rsidR="0048647B">
        <w:t>(containing</w:t>
      </w:r>
      <w:r>
        <w:t xml:space="preserve"> soy leghemoglobin</w:t>
      </w:r>
      <w:r w:rsidR="0048647B">
        <w:t>)</w:t>
      </w:r>
      <w:r>
        <w:t xml:space="preserve"> product</w:t>
      </w:r>
      <w:r>
        <w:rPr>
          <w:rStyle w:val="FootnoteReference"/>
        </w:rPr>
        <w:footnoteReference w:id="6"/>
      </w:r>
      <w:r>
        <w:t>.</w:t>
      </w:r>
    </w:p>
    <w:p w14:paraId="78B3DB33" w14:textId="0637D461" w:rsidR="00CE61A2" w:rsidRDefault="00CE61A2" w:rsidP="00CE61A2">
      <w:pPr>
        <w:widowControl/>
      </w:pPr>
    </w:p>
    <w:p w14:paraId="650520B5" w14:textId="77777777" w:rsidR="005440CC" w:rsidRDefault="004D29B5" w:rsidP="00F679A6">
      <w:pPr>
        <w:widowControl/>
        <w:rPr>
          <w:lang w:val="en-AU"/>
        </w:rPr>
      </w:pPr>
      <w:r>
        <w:t>The applic</w:t>
      </w:r>
      <w:r w:rsidR="00354E83">
        <w:t>ant</w:t>
      </w:r>
      <w:r w:rsidR="00565558">
        <w:t xml:space="preserve"> </w:t>
      </w:r>
      <w:r>
        <w:t>indicates the purpose of</w:t>
      </w:r>
      <w:r w:rsidR="00F679A6" w:rsidRPr="001D02CB">
        <w:rPr>
          <w:lang w:val="en-AU"/>
        </w:rPr>
        <w:t xml:space="preserve"> soy leghemoglobin </w:t>
      </w:r>
      <w:r>
        <w:rPr>
          <w:lang w:val="en-AU"/>
        </w:rPr>
        <w:t xml:space="preserve">is </w:t>
      </w:r>
      <w:r w:rsidR="00F679A6">
        <w:rPr>
          <w:lang w:val="en-AU"/>
        </w:rPr>
        <w:t xml:space="preserve">to </w:t>
      </w:r>
      <w:r w:rsidR="00F25868">
        <w:rPr>
          <w:lang w:val="en-AU"/>
        </w:rPr>
        <w:t xml:space="preserve">provide </w:t>
      </w:r>
      <w:r w:rsidR="00887012">
        <w:rPr>
          <w:lang w:val="en-AU"/>
        </w:rPr>
        <w:t xml:space="preserve">a </w:t>
      </w:r>
      <w:r w:rsidR="00F679A6">
        <w:rPr>
          <w:lang w:val="en-AU"/>
        </w:rPr>
        <w:t>nutrition</w:t>
      </w:r>
      <w:r w:rsidR="00887012">
        <w:rPr>
          <w:lang w:val="en-AU"/>
        </w:rPr>
        <w:t>al</w:t>
      </w:r>
      <w:r w:rsidR="00F679A6">
        <w:rPr>
          <w:lang w:val="en-AU"/>
        </w:rPr>
        <w:t xml:space="preserve"> source of iron, </w:t>
      </w:r>
      <w:r w:rsidR="00B6456A">
        <w:rPr>
          <w:lang w:val="en-AU"/>
        </w:rPr>
        <w:t xml:space="preserve">flavour and aroma </w:t>
      </w:r>
      <w:r w:rsidR="00A21341">
        <w:rPr>
          <w:lang w:val="en-AU"/>
        </w:rPr>
        <w:t>similar to that</w:t>
      </w:r>
      <w:r w:rsidR="00F679A6" w:rsidRPr="001D02CB">
        <w:rPr>
          <w:lang w:val="en-AU"/>
        </w:rPr>
        <w:t xml:space="preserve"> </w:t>
      </w:r>
      <w:r w:rsidR="00F679A6">
        <w:rPr>
          <w:lang w:val="en-AU"/>
        </w:rPr>
        <w:t>of</w:t>
      </w:r>
      <w:r w:rsidR="00D817EC">
        <w:rPr>
          <w:lang w:val="en-AU"/>
        </w:rPr>
        <w:t xml:space="preserve"> </w:t>
      </w:r>
      <w:r w:rsidR="00F679A6">
        <w:rPr>
          <w:lang w:val="en-AU"/>
        </w:rPr>
        <w:t>myoglobin, a haem-containing protein found in the muscle tissue of animals</w:t>
      </w:r>
      <w:r w:rsidR="00841CB8">
        <w:rPr>
          <w:lang w:val="en-AU"/>
        </w:rPr>
        <w:t xml:space="preserve"> (</w:t>
      </w:r>
      <w:r w:rsidR="00841CB8" w:rsidRPr="009538C3">
        <w:rPr>
          <w:rFonts w:cs="Arial"/>
          <w:szCs w:val="20"/>
        </w:rPr>
        <w:t xml:space="preserve">Ordway </w:t>
      </w:r>
      <w:r w:rsidR="00841CB8">
        <w:rPr>
          <w:rFonts w:cs="Arial"/>
          <w:szCs w:val="20"/>
        </w:rPr>
        <w:t>and</w:t>
      </w:r>
      <w:r w:rsidR="00841CB8" w:rsidRPr="009538C3">
        <w:rPr>
          <w:rFonts w:cs="Arial"/>
          <w:szCs w:val="20"/>
        </w:rPr>
        <w:t xml:space="preserve"> Garry 2004)</w:t>
      </w:r>
      <w:r w:rsidR="005440CC">
        <w:rPr>
          <w:lang w:val="en-AU"/>
        </w:rPr>
        <w:t>.</w:t>
      </w:r>
    </w:p>
    <w:p w14:paraId="423674D9" w14:textId="77777777" w:rsidR="005440CC" w:rsidRDefault="005440CC" w:rsidP="00F679A6">
      <w:pPr>
        <w:widowControl/>
        <w:rPr>
          <w:lang w:val="en-AU"/>
        </w:rPr>
      </w:pPr>
    </w:p>
    <w:p w14:paraId="662DA1FA" w14:textId="5DA29B8E" w:rsidR="00F679A6" w:rsidRPr="005440CC" w:rsidRDefault="00565558" w:rsidP="00F679A6">
      <w:pPr>
        <w:widowControl/>
        <w:rPr>
          <w:color w:val="000000" w:themeColor="text1"/>
        </w:rPr>
      </w:pPr>
      <w:r>
        <w:t xml:space="preserve">The applicant states that soy </w:t>
      </w:r>
      <w:r w:rsidR="00F679A6">
        <w:t xml:space="preserve">leghemoglobin </w:t>
      </w:r>
      <w:r w:rsidR="005A0581">
        <w:t xml:space="preserve">would be </w:t>
      </w:r>
      <w:r w:rsidR="00F679A6">
        <w:t>added to the applicant’s meat analogue products in the form of LegH Prep</w:t>
      </w:r>
      <w:r w:rsidR="00540F0B">
        <w:t>, a liquid cell lysate preparation</w:t>
      </w:r>
      <w:r w:rsidR="006F4DB6">
        <w:t xml:space="preserve">. </w:t>
      </w:r>
      <w:r w:rsidR="00F679A6">
        <w:rPr>
          <w:lang w:val="en-AU"/>
        </w:rPr>
        <w:t xml:space="preserve">Other substances in LegH Prep include </w:t>
      </w:r>
      <w:r w:rsidR="00F679A6" w:rsidRPr="00204C4D">
        <w:rPr>
          <w:lang w:val="en-AU"/>
        </w:rPr>
        <w:t xml:space="preserve">residual </w:t>
      </w:r>
      <w:r w:rsidR="001D19D5">
        <w:rPr>
          <w:lang w:val="en-AU"/>
        </w:rPr>
        <w:t xml:space="preserve">GM </w:t>
      </w:r>
      <w:r w:rsidR="00F679A6" w:rsidRPr="00204C4D">
        <w:rPr>
          <w:i/>
          <w:lang w:val="en-AU"/>
        </w:rPr>
        <w:t>P. pastoris</w:t>
      </w:r>
      <w:r w:rsidR="00F679A6" w:rsidRPr="00204C4D">
        <w:rPr>
          <w:lang w:val="en-AU"/>
        </w:rPr>
        <w:t xml:space="preserve"> </w:t>
      </w:r>
      <w:r w:rsidR="00F679A6">
        <w:rPr>
          <w:lang w:val="en-AU"/>
        </w:rPr>
        <w:t xml:space="preserve">cell components such as </w:t>
      </w:r>
      <w:r w:rsidR="00F679A6" w:rsidRPr="004517C5">
        <w:rPr>
          <w:lang w:eastAsia="en-AU" w:bidi="ar-SA"/>
        </w:rPr>
        <w:t xml:space="preserve">proteins </w:t>
      </w:r>
      <w:r w:rsidR="00F679A6">
        <w:rPr>
          <w:lang w:eastAsia="en-AU" w:bidi="ar-SA"/>
        </w:rPr>
        <w:t xml:space="preserve">and </w:t>
      </w:r>
      <w:r w:rsidR="008F3B41">
        <w:rPr>
          <w:lang w:eastAsia="en-AU" w:bidi="ar-SA"/>
        </w:rPr>
        <w:t>genomic DNA</w:t>
      </w:r>
      <w:r w:rsidR="00F679A6" w:rsidRPr="00204C4D">
        <w:rPr>
          <w:lang w:val="en-AU"/>
        </w:rPr>
        <w:t>, and added stabilisers (</w:t>
      </w:r>
      <w:r w:rsidR="00F679A6" w:rsidRPr="00BC4A87">
        <w:rPr>
          <w:lang w:val="en-AU"/>
        </w:rPr>
        <w:t>e.g</w:t>
      </w:r>
      <w:r w:rsidR="00F679A6" w:rsidRPr="00DF4749">
        <w:rPr>
          <w:lang w:val="en-AU"/>
        </w:rPr>
        <w:t>.</w:t>
      </w:r>
      <w:r w:rsidR="00F679A6" w:rsidRPr="00204C4D">
        <w:rPr>
          <w:lang w:val="en-AU"/>
        </w:rPr>
        <w:t xml:space="preserve"> sodium ascorbate and sodium chloride)</w:t>
      </w:r>
      <w:r w:rsidR="00F679A6">
        <w:t>.</w:t>
      </w:r>
      <w:r w:rsidR="0039072F">
        <w:t xml:space="preserve"> D</w:t>
      </w:r>
      <w:r w:rsidR="0039072F">
        <w:rPr>
          <w:color w:val="000000" w:themeColor="text1"/>
        </w:rPr>
        <w:t>ue to its production method FSANZ assessed soy leghemoglobin in the form of LegH Prep as a GM ingredient.</w:t>
      </w:r>
    </w:p>
    <w:p w14:paraId="3405D5C2" w14:textId="77777777" w:rsidR="006F4DB6" w:rsidRDefault="006F4DB6" w:rsidP="00FD4ECA">
      <w:pPr>
        <w:widowControl/>
        <w:rPr>
          <w:lang w:val="en-AU"/>
        </w:rPr>
      </w:pPr>
    </w:p>
    <w:p w14:paraId="5B416133" w14:textId="712232DA" w:rsidR="00FD4ECA" w:rsidRDefault="00FD4ECA" w:rsidP="00FD4ECA">
      <w:pPr>
        <w:widowControl/>
        <w:rPr>
          <w:lang w:val="en-AU"/>
        </w:rPr>
      </w:pPr>
      <w:r>
        <w:rPr>
          <w:lang w:val="en-AU"/>
        </w:rPr>
        <w:t xml:space="preserve">The maximum proposed use level for soy leghemoglobin is </w:t>
      </w:r>
      <w:r w:rsidR="00E46423">
        <w:rPr>
          <w:lang w:val="en-AU"/>
        </w:rPr>
        <w:t xml:space="preserve">proposed by the applicant to be </w:t>
      </w:r>
      <w:r>
        <w:rPr>
          <w:lang w:val="en-AU"/>
        </w:rPr>
        <w:t xml:space="preserve">0.8% </w:t>
      </w:r>
      <w:r w:rsidR="009A6D07">
        <w:rPr>
          <w:lang w:val="en-AU"/>
        </w:rPr>
        <w:t xml:space="preserve">(0.8 g/100 g) </w:t>
      </w:r>
      <w:r>
        <w:rPr>
          <w:lang w:val="en-AU"/>
        </w:rPr>
        <w:t>in raw product</w:t>
      </w:r>
      <w:r w:rsidR="00AD27F1">
        <w:rPr>
          <w:lang w:val="en-AU"/>
        </w:rPr>
        <w:t>;</w:t>
      </w:r>
      <w:r w:rsidR="00AE6617">
        <w:rPr>
          <w:lang w:val="en-AU"/>
        </w:rPr>
        <w:t xml:space="preserve"> this was proposed because</w:t>
      </w:r>
      <w:r w:rsidR="00AE7D9C">
        <w:rPr>
          <w:lang w:val="en-AU"/>
        </w:rPr>
        <w:t xml:space="preserve"> </w:t>
      </w:r>
      <w:r w:rsidR="00AE6617">
        <w:rPr>
          <w:lang w:val="en-AU"/>
        </w:rPr>
        <w:t>it</w:t>
      </w:r>
      <w:r>
        <w:rPr>
          <w:lang w:val="en-AU"/>
        </w:rPr>
        <w:t xml:space="preserve"> is </w:t>
      </w:r>
      <w:r w:rsidR="00E46423">
        <w:rPr>
          <w:lang w:val="en-AU"/>
        </w:rPr>
        <w:t>at</w:t>
      </w:r>
      <w:r>
        <w:rPr>
          <w:lang w:val="en-AU"/>
        </w:rPr>
        <w:t xml:space="preserve"> the lower end of the myoglobin content of red meat (0.8–1.8%) </w:t>
      </w:r>
      <w:r w:rsidRPr="00204C4D">
        <w:rPr>
          <w:lang w:val="en-AU"/>
        </w:rPr>
        <w:t>(</w:t>
      </w:r>
      <w:r w:rsidRPr="00071983">
        <w:rPr>
          <w:lang w:val="en-AU"/>
        </w:rPr>
        <w:t>Texas A&amp;M Institute, 2019</w:t>
      </w:r>
      <w:r w:rsidRPr="003B006B">
        <w:rPr>
          <w:lang w:val="en-AU"/>
        </w:rPr>
        <w:t>)</w:t>
      </w:r>
      <w:r w:rsidR="00AE6617">
        <w:rPr>
          <w:lang w:val="en-AU"/>
        </w:rPr>
        <w:t xml:space="preserve">, and </w:t>
      </w:r>
      <w:r w:rsidR="00AE7D9C">
        <w:rPr>
          <w:lang w:val="en-AU"/>
        </w:rPr>
        <w:t xml:space="preserve">the applicant’s testing has indicated it </w:t>
      </w:r>
      <w:r w:rsidR="00AE6617">
        <w:rPr>
          <w:lang w:val="en-AU"/>
        </w:rPr>
        <w:t xml:space="preserve">is the maximum </w:t>
      </w:r>
      <w:r w:rsidR="000143DF">
        <w:rPr>
          <w:lang w:val="en-AU"/>
        </w:rPr>
        <w:t xml:space="preserve">addition </w:t>
      </w:r>
      <w:r w:rsidR="00AE6617">
        <w:rPr>
          <w:lang w:val="en-AU"/>
        </w:rPr>
        <w:t>level at which meat analogue products retain palatability</w:t>
      </w:r>
      <w:r w:rsidRPr="003B006B">
        <w:rPr>
          <w:lang w:val="en-AU"/>
        </w:rPr>
        <w:t>.</w:t>
      </w:r>
      <w:r>
        <w:rPr>
          <w:lang w:val="en-AU"/>
        </w:rPr>
        <w:t xml:space="preserve"> The application indicates that </w:t>
      </w:r>
      <w:r w:rsidR="004D29B5">
        <w:rPr>
          <w:lang w:val="en-AU"/>
        </w:rPr>
        <w:t xml:space="preserve">soy leghemoglobin levels currently used in raw beef and pork analogue products are 0.45% and 0.25% respectively, </w:t>
      </w:r>
      <w:r>
        <w:rPr>
          <w:lang w:val="en-AU"/>
        </w:rPr>
        <w:t xml:space="preserve">to obtain flavouring profiles similar to </w:t>
      </w:r>
      <w:r w:rsidR="004D29B5">
        <w:rPr>
          <w:lang w:val="en-AU"/>
        </w:rPr>
        <w:t>beef or pork meat products</w:t>
      </w:r>
      <w:r>
        <w:rPr>
          <w:lang w:val="en-AU"/>
        </w:rPr>
        <w:t>.</w:t>
      </w:r>
      <w:r w:rsidR="00AD27F1">
        <w:rPr>
          <w:lang w:val="en-AU"/>
        </w:rPr>
        <w:t xml:space="preserve"> </w:t>
      </w:r>
      <w:r w:rsidR="00AE7D9C" w:rsidRPr="00293CDD">
        <w:rPr>
          <w:rFonts w:eastAsia="Calibri"/>
          <w:szCs w:val="22"/>
          <w:lang w:bidi="ar-SA"/>
        </w:rPr>
        <w:t>Maximum use levels are usually set higher than intended use levels to allow for variability from batch to batch</w:t>
      </w:r>
      <w:r w:rsidR="00AE7D9C">
        <w:rPr>
          <w:rFonts w:eastAsia="Calibri"/>
          <w:szCs w:val="22"/>
          <w:lang w:bidi="ar-SA"/>
        </w:rPr>
        <w:t>, and additionally a higher use level provides opportunity for product reformulation.</w:t>
      </w:r>
    </w:p>
    <w:p w14:paraId="4DE054C5" w14:textId="77777777" w:rsidR="00FD4ECA" w:rsidRDefault="00FD4ECA" w:rsidP="00F679A6">
      <w:pPr>
        <w:widowControl/>
        <w:rPr>
          <w:lang w:val="en-AU"/>
        </w:rPr>
      </w:pPr>
    </w:p>
    <w:p w14:paraId="61532C10" w14:textId="02299D7F" w:rsidR="00F679A6" w:rsidRDefault="00FD4ECA" w:rsidP="00F679A6">
      <w:pPr>
        <w:widowControl/>
        <w:rPr>
          <w:lang w:val="en-AU"/>
        </w:rPr>
      </w:pPr>
      <w:r>
        <w:rPr>
          <w:lang w:val="en-AU"/>
        </w:rPr>
        <w:t xml:space="preserve">The applicant </w:t>
      </w:r>
      <w:r w:rsidR="004D29B5">
        <w:rPr>
          <w:lang w:val="en-AU"/>
        </w:rPr>
        <w:t xml:space="preserve">initially </w:t>
      </w:r>
      <w:r>
        <w:rPr>
          <w:lang w:val="en-AU"/>
        </w:rPr>
        <w:t xml:space="preserve">plans to import </w:t>
      </w:r>
      <w:r w:rsidR="000A64CF">
        <w:rPr>
          <w:lang w:val="en-AU"/>
        </w:rPr>
        <w:t xml:space="preserve">packaged raw and frozen </w:t>
      </w:r>
      <w:r w:rsidR="00E1362C">
        <w:rPr>
          <w:lang w:val="en-AU"/>
        </w:rPr>
        <w:t>Impossible</w:t>
      </w:r>
      <w:r>
        <w:rPr>
          <w:lang w:val="en-AU"/>
        </w:rPr>
        <w:t xml:space="preserve"> meat analogue products into Australia and New Zealand for sale to </w:t>
      </w:r>
      <w:r w:rsidR="004D29B5">
        <w:rPr>
          <w:lang w:val="en-AU"/>
        </w:rPr>
        <w:t xml:space="preserve">retail and catering </w:t>
      </w:r>
      <w:r w:rsidRPr="00204C4D">
        <w:rPr>
          <w:lang w:val="en-AU"/>
        </w:rPr>
        <w:t>outlets</w:t>
      </w:r>
      <w:r>
        <w:rPr>
          <w:lang w:val="en-AU"/>
        </w:rPr>
        <w:t>.</w:t>
      </w:r>
      <w:r w:rsidR="00E66811">
        <w:rPr>
          <w:lang w:val="en-AU"/>
        </w:rPr>
        <w:t xml:space="preserve"> </w:t>
      </w:r>
      <w:r w:rsidR="00103BE5">
        <w:rPr>
          <w:lang w:val="en-AU"/>
        </w:rPr>
        <w:t xml:space="preserve">The applicant has advised that </w:t>
      </w:r>
      <w:r w:rsidR="00E66811">
        <w:t>LegH Prep will not be sold for general use, but only as an ingredient of Impossible branded meat analogue products</w:t>
      </w:r>
      <w:r w:rsidR="00E66811">
        <w:rPr>
          <w:lang w:val="en-AU"/>
        </w:rPr>
        <w:t>. The applicant has indicated that Australian and New Zealand co-manufacturers may be contracted in the future to locally produce Impossible meat analogue products, however the</w:t>
      </w:r>
      <w:r w:rsidR="00E66811">
        <w:rPr>
          <w:i/>
          <w:iCs/>
        </w:rPr>
        <w:t xml:space="preserve"> </w:t>
      </w:r>
      <w:r w:rsidR="00E66811" w:rsidRPr="006B52C6">
        <w:rPr>
          <w:iCs/>
        </w:rPr>
        <w:t xml:space="preserve">production of the LegH Prep ingredient will </w:t>
      </w:r>
      <w:r w:rsidR="00E66811">
        <w:rPr>
          <w:iCs/>
        </w:rPr>
        <w:t>continue</w:t>
      </w:r>
      <w:r w:rsidR="00E66811" w:rsidRPr="006B52C6">
        <w:rPr>
          <w:iCs/>
        </w:rPr>
        <w:t xml:space="preserve"> </w:t>
      </w:r>
      <w:r w:rsidR="00E66811">
        <w:rPr>
          <w:iCs/>
        </w:rPr>
        <w:t xml:space="preserve">in an Impossible Food’s production facility located </w:t>
      </w:r>
      <w:r w:rsidR="00C1610F">
        <w:rPr>
          <w:iCs/>
        </w:rPr>
        <w:t>outside </w:t>
      </w:r>
      <w:r w:rsidR="00E66811" w:rsidRPr="006B52C6">
        <w:rPr>
          <w:iCs/>
        </w:rPr>
        <w:t>Australia and New Zealand</w:t>
      </w:r>
      <w:r w:rsidR="00E66811">
        <w:rPr>
          <w:iCs/>
        </w:rPr>
        <w:t xml:space="preserve"> </w:t>
      </w:r>
      <w:r w:rsidR="00E66811" w:rsidRPr="006B52C6">
        <w:rPr>
          <w:iCs/>
        </w:rPr>
        <w:t>to ensure quality control</w:t>
      </w:r>
      <w:r w:rsidR="00E66811">
        <w:rPr>
          <w:iCs/>
        </w:rPr>
        <w:t>.</w:t>
      </w:r>
    </w:p>
    <w:p w14:paraId="01514028" w14:textId="725627C7" w:rsidR="0053464E" w:rsidRPr="0053464E" w:rsidRDefault="00F33BB8" w:rsidP="00A56E34">
      <w:pPr>
        <w:pStyle w:val="Heading2"/>
      </w:pPr>
      <w:bookmarkStart w:id="25" w:name="_Toc300761892"/>
      <w:bookmarkStart w:id="26" w:name="_Toc300933421"/>
      <w:bookmarkStart w:id="27" w:name="_Toc41576645"/>
      <w:bookmarkStart w:id="28" w:name="_Toc42875208"/>
      <w:bookmarkStart w:id="29" w:name="_Toc43128113"/>
      <w:r>
        <w:t>1</w:t>
      </w:r>
      <w:r w:rsidR="00A56E34">
        <w:t>.3</w:t>
      </w:r>
      <w:r w:rsidR="00A56E34">
        <w:tab/>
        <w:t>The c</w:t>
      </w:r>
      <w:r w:rsidR="0053464E" w:rsidRPr="0053464E">
        <w:t xml:space="preserve">urrent </w:t>
      </w:r>
      <w:r w:rsidR="00E72650">
        <w:t>s</w:t>
      </w:r>
      <w:r w:rsidR="0053464E" w:rsidRPr="0053464E">
        <w:t>tandard</w:t>
      </w:r>
      <w:bookmarkEnd w:id="25"/>
      <w:bookmarkEnd w:id="26"/>
      <w:bookmarkEnd w:id="27"/>
      <w:bookmarkEnd w:id="28"/>
      <w:bookmarkEnd w:id="29"/>
    </w:p>
    <w:p w14:paraId="5A3882B5" w14:textId="77777777" w:rsidR="00F679A6" w:rsidRDefault="00F679A6" w:rsidP="00F679A6">
      <w:pPr>
        <w:pStyle w:val="Heading3"/>
        <w:keepNext w:val="0"/>
        <w:widowControl/>
        <w:ind w:left="0" w:firstLine="0"/>
      </w:pPr>
      <w:bookmarkStart w:id="30" w:name="_Toc26284641"/>
      <w:bookmarkStart w:id="31" w:name="_Toc26980492"/>
      <w:bookmarkStart w:id="32" w:name="_Toc41576646"/>
      <w:bookmarkStart w:id="33" w:name="_Toc42875209"/>
      <w:bookmarkStart w:id="34" w:name="_Toc43128114"/>
      <w:bookmarkStart w:id="35" w:name="_Toc286391007"/>
      <w:bookmarkStart w:id="36" w:name="_Toc300933423"/>
      <w:bookmarkStart w:id="37" w:name="_Toc175381432"/>
      <w:r>
        <w:t>1.3.1</w:t>
      </w:r>
      <w:r>
        <w:tab/>
        <w:t>Australia and New Zealand</w:t>
      </w:r>
      <w:bookmarkEnd w:id="30"/>
      <w:bookmarkEnd w:id="31"/>
      <w:bookmarkEnd w:id="32"/>
      <w:bookmarkEnd w:id="33"/>
      <w:bookmarkEnd w:id="34"/>
    </w:p>
    <w:p w14:paraId="624DE6DF" w14:textId="7EF350B9" w:rsidR="00F679A6" w:rsidRDefault="00F679A6" w:rsidP="00F679A6">
      <w:pPr>
        <w:widowControl/>
      </w:pPr>
      <w:r>
        <w:t>Australian and New Zealand food laws require food for sale to comply with the following Code requirements.</w:t>
      </w:r>
    </w:p>
    <w:p w14:paraId="29578302" w14:textId="77777777" w:rsidR="00F679A6" w:rsidRDefault="00F679A6" w:rsidP="00F679A6">
      <w:pPr>
        <w:pStyle w:val="Heading4"/>
      </w:pPr>
      <w:r>
        <w:lastRenderedPageBreak/>
        <w:t>1.3.1.1</w:t>
      </w:r>
      <w:r>
        <w:tab/>
      </w:r>
      <w:r w:rsidRPr="00E31C9D">
        <w:t>Permitted use</w:t>
      </w:r>
    </w:p>
    <w:p w14:paraId="023E35F6" w14:textId="77777777" w:rsidR="00367EBE" w:rsidRPr="00780250" w:rsidRDefault="00367EBE" w:rsidP="00367EBE">
      <w:pPr>
        <w:widowControl/>
        <w:rPr>
          <w:u w:val="single"/>
        </w:rPr>
      </w:pPr>
      <w:r w:rsidRPr="00780250">
        <w:rPr>
          <w:u w:val="single"/>
        </w:rPr>
        <w:t>Used as a nutritive substance</w:t>
      </w:r>
    </w:p>
    <w:p w14:paraId="41C8A84A" w14:textId="77777777" w:rsidR="00367EBE" w:rsidRDefault="00367EBE" w:rsidP="00556ECD">
      <w:pPr>
        <w:widowControl/>
      </w:pPr>
    </w:p>
    <w:p w14:paraId="628A8848" w14:textId="7E967D7F" w:rsidR="00367EBE" w:rsidRDefault="00367EBE" w:rsidP="00367EBE">
      <w:pPr>
        <w:widowControl/>
      </w:pPr>
      <w:r w:rsidRPr="00582C15">
        <w:t>Pa</w:t>
      </w:r>
      <w:r>
        <w:t xml:space="preserve">ragraph </w:t>
      </w:r>
      <w:r w:rsidRPr="001805AF">
        <w:t>1.1.1—10</w:t>
      </w:r>
      <w:r>
        <w:t>(6)(b</w:t>
      </w:r>
      <w:r w:rsidRPr="001805AF">
        <w:t>)</w:t>
      </w:r>
      <w:r>
        <w:t xml:space="preserve"> requires that, unless expressly permitted, a food for sale must not have as an ingredient or component a substance that is </w:t>
      </w:r>
      <w:r w:rsidRPr="0014740B">
        <w:rPr>
          <w:i/>
        </w:rPr>
        <w:t>used as a nutritive substance</w:t>
      </w:r>
      <w:r>
        <w:t xml:space="preserve">. According to section </w:t>
      </w:r>
      <w:r w:rsidRPr="00B35F00">
        <w:t>1.1.2—</w:t>
      </w:r>
      <w:r>
        <w:t>1</w:t>
      </w:r>
      <w:r w:rsidRPr="00B35F00">
        <w:t>2</w:t>
      </w:r>
      <w:r>
        <w:t>, a substance is used as a nutritive substance in relation to a food if:</w:t>
      </w:r>
    </w:p>
    <w:p w14:paraId="779B20E6" w14:textId="77777777" w:rsidR="00367EBE" w:rsidRDefault="00367EBE" w:rsidP="00367EBE">
      <w:pPr>
        <w:widowControl/>
      </w:pPr>
    </w:p>
    <w:p w14:paraId="154A033B" w14:textId="77777777" w:rsidR="00367EBE" w:rsidRDefault="00367EBE" w:rsidP="00367EBE">
      <w:pPr>
        <w:pStyle w:val="ListParagraph"/>
        <w:widowControl/>
        <w:numPr>
          <w:ilvl w:val="0"/>
          <w:numId w:val="33"/>
        </w:numPr>
      </w:pPr>
      <w:r>
        <w:t>it is added to the food to achieve a nutritional purpose; and</w:t>
      </w:r>
    </w:p>
    <w:p w14:paraId="536AA2A8" w14:textId="77777777" w:rsidR="00367EBE" w:rsidRDefault="00367EBE" w:rsidP="00367EBE">
      <w:pPr>
        <w:pStyle w:val="ListParagraph"/>
        <w:widowControl/>
        <w:numPr>
          <w:ilvl w:val="0"/>
          <w:numId w:val="33"/>
        </w:numPr>
      </w:pPr>
      <w:r>
        <w:t>it is either:</w:t>
      </w:r>
    </w:p>
    <w:p w14:paraId="3CEEF806" w14:textId="77777777" w:rsidR="00367EBE" w:rsidRDefault="00367EBE" w:rsidP="00367EBE">
      <w:pPr>
        <w:pStyle w:val="ListParagraph"/>
        <w:widowControl/>
        <w:numPr>
          <w:ilvl w:val="0"/>
          <w:numId w:val="34"/>
        </w:numPr>
        <w:ind w:left="1134" w:hanging="436"/>
      </w:pPr>
      <w:r>
        <w:t>any substance identified in the Code as a substance that may be used as a nutritive substance; or</w:t>
      </w:r>
    </w:p>
    <w:p w14:paraId="36ADD4B9" w14:textId="77777777" w:rsidR="00367EBE" w:rsidRDefault="00367EBE" w:rsidP="00367EBE">
      <w:pPr>
        <w:pStyle w:val="ListParagraph"/>
        <w:widowControl/>
        <w:numPr>
          <w:ilvl w:val="0"/>
          <w:numId w:val="34"/>
        </w:numPr>
        <w:ind w:hanging="11"/>
      </w:pPr>
      <w:r>
        <w:t>a vitamin or mineral; or</w:t>
      </w:r>
    </w:p>
    <w:p w14:paraId="45C68F2E" w14:textId="77777777" w:rsidR="00367EBE" w:rsidRDefault="00367EBE" w:rsidP="00367EBE">
      <w:pPr>
        <w:pStyle w:val="ListParagraph"/>
        <w:widowControl/>
        <w:numPr>
          <w:ilvl w:val="0"/>
          <w:numId w:val="34"/>
        </w:numPr>
        <w:ind w:left="1134" w:hanging="425"/>
      </w:pPr>
      <w:r>
        <w:t xml:space="preserve">any substance that has been concentrated, refined or synthesised to achieve a nutritional purpose when added to the food (other than an inulin-type fructan, a galacto-oligosaccharide, or a substance normally consumed as a food). </w:t>
      </w:r>
    </w:p>
    <w:p w14:paraId="6D6FA69C" w14:textId="77777777" w:rsidR="00367EBE" w:rsidRDefault="00367EBE" w:rsidP="00367EBE">
      <w:pPr>
        <w:widowControl/>
      </w:pPr>
    </w:p>
    <w:p w14:paraId="6F5792C6" w14:textId="77777777" w:rsidR="00367EBE" w:rsidRDefault="00367EBE" w:rsidP="00367EBE">
      <w:pPr>
        <w:widowControl/>
      </w:pPr>
      <w:r>
        <w:t>Standard 1.3.2 provides for when a substance, such as a vitamin or mineral, may be permitted to be used as a nutritive substance in food. Section 1.3.2—3 states that a vitamin or mineral may be used as a nutritive substance in food if:</w:t>
      </w:r>
    </w:p>
    <w:p w14:paraId="0DA6A98C" w14:textId="77777777" w:rsidR="00367EBE" w:rsidRDefault="00367EBE" w:rsidP="00367EBE">
      <w:pPr>
        <w:widowControl/>
      </w:pPr>
    </w:p>
    <w:p w14:paraId="4DC31DD3" w14:textId="77777777" w:rsidR="00367EBE" w:rsidRPr="00146A2B" w:rsidRDefault="00367EBE" w:rsidP="00367EBE">
      <w:pPr>
        <w:widowControl/>
        <w:ind w:left="1127" w:hanging="560"/>
        <w:rPr>
          <w:i/>
          <w:iCs/>
        </w:rPr>
      </w:pPr>
      <w:r w:rsidRPr="00146A2B">
        <w:rPr>
          <w:i/>
          <w:iCs/>
        </w:rPr>
        <w:t>(a)</w:t>
      </w:r>
      <w:r w:rsidRPr="00146A2B">
        <w:rPr>
          <w:i/>
          <w:iCs/>
        </w:rPr>
        <w:tab/>
        <w:t>the vitamin or mineral is in a permitted form specified in section S17—2 or section S17—3; and</w:t>
      </w:r>
    </w:p>
    <w:p w14:paraId="515C09CF" w14:textId="77777777" w:rsidR="00367EBE" w:rsidRPr="00146A2B" w:rsidRDefault="00367EBE" w:rsidP="00367EBE">
      <w:pPr>
        <w:widowControl/>
        <w:ind w:left="1127" w:hanging="557"/>
        <w:rPr>
          <w:i/>
          <w:iCs/>
        </w:rPr>
      </w:pPr>
      <w:r w:rsidRPr="00146A2B">
        <w:rPr>
          <w:i/>
          <w:iCs/>
        </w:rPr>
        <w:t>(b)</w:t>
      </w:r>
      <w:r w:rsidRPr="00146A2B">
        <w:rPr>
          <w:i/>
          <w:iCs/>
        </w:rPr>
        <w:tab/>
        <w:t>the vitamin or mineral is listed in relation to that type of food in section S17—4; and</w:t>
      </w:r>
    </w:p>
    <w:p w14:paraId="52F12217" w14:textId="77777777" w:rsidR="00367EBE" w:rsidRPr="00234253" w:rsidRDefault="00367EBE" w:rsidP="00367EBE">
      <w:pPr>
        <w:widowControl/>
        <w:ind w:left="1127" w:hanging="557"/>
        <w:rPr>
          <w:iCs/>
        </w:rPr>
      </w:pPr>
      <w:r w:rsidRPr="00146A2B">
        <w:rPr>
          <w:i/>
          <w:iCs/>
        </w:rPr>
        <w:t>(c)</w:t>
      </w:r>
      <w:r w:rsidRPr="00146A2B">
        <w:rPr>
          <w:i/>
          <w:iCs/>
        </w:rPr>
        <w:tab/>
        <w:t>the total amount of the naturally occurring and added vitamin or mineral present in a *reference quantity of the food is no more than the amount (if any) specified in relation to</w:t>
      </w:r>
      <w:r>
        <w:rPr>
          <w:i/>
          <w:iCs/>
        </w:rPr>
        <w:t xml:space="preserve"> </w:t>
      </w:r>
      <w:r w:rsidRPr="00146A2B">
        <w:rPr>
          <w:i/>
          <w:iCs/>
        </w:rPr>
        <w:t>that vitamin or mineral in section S17—4.</w:t>
      </w:r>
      <w:r>
        <w:rPr>
          <w:rStyle w:val="FootnoteReference"/>
          <w:i/>
          <w:iCs/>
        </w:rPr>
        <w:footnoteReference w:id="7"/>
      </w:r>
    </w:p>
    <w:p w14:paraId="07B5A8AC" w14:textId="77777777" w:rsidR="00367EBE" w:rsidRDefault="00367EBE" w:rsidP="00367EBE">
      <w:pPr>
        <w:widowControl/>
      </w:pPr>
    </w:p>
    <w:p w14:paraId="5F147991" w14:textId="69CD7942" w:rsidR="00367EBE" w:rsidRDefault="00367EBE" w:rsidP="00367EBE">
      <w:pPr>
        <w:widowControl/>
      </w:pPr>
      <w:r>
        <w:t xml:space="preserve">For permission to use soy </w:t>
      </w:r>
      <w:r w:rsidRPr="006842B6">
        <w:t>leghemoglobin</w:t>
      </w:r>
      <w:r>
        <w:t xml:space="preserve"> (in the form of LegH Prep) as a form of iron in meat analogue products</w:t>
      </w:r>
      <w:r w:rsidRPr="00677D29">
        <w:t xml:space="preserve"> </w:t>
      </w:r>
      <w:r>
        <w:t>to which section S17—4 applies, i.e. as a nutritive substance, the</w:t>
      </w:r>
      <w:r w:rsidR="00BD384E">
        <w:t>n</w:t>
      </w:r>
      <w:r>
        <w:t xml:space="preserve"> soy </w:t>
      </w:r>
      <w:r w:rsidRPr="006842B6">
        <w:t>leghemoglobin</w:t>
      </w:r>
      <w:r>
        <w:t xml:space="preserve"> will have to be listed in section S17—3 as a form of iron.</w:t>
      </w:r>
    </w:p>
    <w:p w14:paraId="2F889A86" w14:textId="77777777" w:rsidR="00367EBE" w:rsidRDefault="00367EBE" w:rsidP="00367EBE">
      <w:pPr>
        <w:widowControl/>
      </w:pPr>
    </w:p>
    <w:p w14:paraId="269CE145" w14:textId="77777777" w:rsidR="00367EBE" w:rsidRDefault="00367EBE" w:rsidP="00367EBE">
      <w:pPr>
        <w:widowControl/>
      </w:pPr>
      <w:r>
        <w:t xml:space="preserve">The table to section S17—4 </w:t>
      </w:r>
      <w:r w:rsidRPr="00F50242">
        <w:t>already permit</w:t>
      </w:r>
      <w:r>
        <w:t>s</w:t>
      </w:r>
      <w:r w:rsidRPr="00F50242">
        <w:t xml:space="preserve"> addition </w:t>
      </w:r>
      <w:r>
        <w:t xml:space="preserve">of iron </w:t>
      </w:r>
      <w:r w:rsidRPr="00F50242">
        <w:t xml:space="preserve">to meat analogues </w:t>
      </w:r>
      <w:r>
        <w:t>providing the meat analogues</w:t>
      </w:r>
      <w:r w:rsidRPr="00F50242">
        <w:t xml:space="preserve"> meet </w:t>
      </w:r>
      <w:r>
        <w:t>specific</w:t>
      </w:r>
      <w:r w:rsidRPr="00F50242">
        <w:t xml:space="preserve"> protein conditions</w:t>
      </w:r>
      <w:r>
        <w:t>:</w:t>
      </w:r>
      <w:r w:rsidRPr="00255BFA">
        <w:rPr>
          <w:i/>
          <w:lang w:bidi="ar-SA"/>
        </w:rPr>
        <w:t xml:space="preserve"> </w:t>
      </w:r>
      <w:r w:rsidRPr="001373DD">
        <w:rPr>
          <w:i/>
          <w:lang w:bidi="ar-SA"/>
        </w:rPr>
        <w:t>where no less than 12% of the energy value of the food is derived from protein, and the food contains 5 g protein per serve of the food</w:t>
      </w:r>
      <w:r>
        <w:rPr>
          <w:i/>
          <w:lang w:bidi="ar-SA"/>
        </w:rPr>
        <w:t>.</w:t>
      </w:r>
      <w:r>
        <w:t xml:space="preserve"> </w:t>
      </w:r>
    </w:p>
    <w:p w14:paraId="6B7ADEB1" w14:textId="77777777" w:rsidR="00367EBE" w:rsidRDefault="00367EBE" w:rsidP="00367EBE">
      <w:pPr>
        <w:widowControl/>
      </w:pPr>
    </w:p>
    <w:p w14:paraId="63BE2934" w14:textId="77777777" w:rsidR="00367EBE" w:rsidRDefault="00367EBE" w:rsidP="00367EBE">
      <w:pPr>
        <w:widowControl/>
        <w:rPr>
          <w:lang w:bidi="ar-SA"/>
        </w:rPr>
      </w:pPr>
      <w:r w:rsidRPr="006842B6">
        <w:t xml:space="preserve">Since soy leghemoglobin </w:t>
      </w:r>
      <w:r>
        <w:t>(in the form of LegH Prep) is proposed to be</w:t>
      </w:r>
      <w:r w:rsidRPr="00F50242">
        <w:t xml:space="preserve"> used as a source of iron, meat analogues containing soy leghemoglobin</w:t>
      </w:r>
      <w:r>
        <w:t xml:space="preserve"> would have to</w:t>
      </w:r>
      <w:r w:rsidRPr="0089602D">
        <w:t xml:space="preserve"> meet the</w:t>
      </w:r>
      <w:r>
        <w:t>se conditions.</w:t>
      </w:r>
      <w:r>
        <w:rPr>
          <w:lang w:bidi="ar-SA"/>
        </w:rPr>
        <w:t xml:space="preserve"> </w:t>
      </w:r>
    </w:p>
    <w:p w14:paraId="113FA84E" w14:textId="77777777" w:rsidR="00367EBE" w:rsidRDefault="00367EBE" w:rsidP="00367EBE">
      <w:pPr>
        <w:widowControl/>
        <w:rPr>
          <w:lang w:bidi="ar-SA"/>
        </w:rPr>
      </w:pPr>
    </w:p>
    <w:p w14:paraId="215CC4B8" w14:textId="77777777" w:rsidR="00367EBE" w:rsidRDefault="00367EBE" w:rsidP="00367EBE">
      <w:pPr>
        <w:widowControl/>
      </w:pPr>
      <w:r>
        <w:rPr>
          <w:lang w:bidi="ar-SA"/>
        </w:rPr>
        <w:t>The total iron content of meat analogues is indirectly controlled by a ‘maximum claim per reference quantity (maximum percentage RDI claim)’ i.e. 30% RDI/100 g reference quantity</w:t>
      </w:r>
      <w:r>
        <w:t>. N</w:t>
      </w:r>
      <w:r>
        <w:rPr>
          <w:lang w:bidi="ar-SA"/>
        </w:rPr>
        <w:t>o additional ‘maximum permitted amount per reference quantity’ is set for iron.</w:t>
      </w:r>
      <w:r w:rsidRPr="00D16524">
        <w:t xml:space="preserve"> </w:t>
      </w:r>
    </w:p>
    <w:p w14:paraId="5D577D24" w14:textId="77777777" w:rsidR="00367EBE" w:rsidRDefault="00367EBE" w:rsidP="00367EBE">
      <w:pPr>
        <w:widowControl/>
      </w:pPr>
    </w:p>
    <w:p w14:paraId="25F75E0B" w14:textId="510F91C1" w:rsidR="00367EBE" w:rsidRPr="00780250" w:rsidRDefault="00367EBE" w:rsidP="00367EBE">
      <w:pPr>
        <w:widowControl/>
        <w:rPr>
          <w:u w:val="single"/>
        </w:rPr>
      </w:pPr>
      <w:r w:rsidRPr="00780250">
        <w:rPr>
          <w:u w:val="single"/>
        </w:rPr>
        <w:t>Food produced using gene technology</w:t>
      </w:r>
    </w:p>
    <w:p w14:paraId="1DDF8B50" w14:textId="77777777" w:rsidR="00367EBE" w:rsidRDefault="00367EBE" w:rsidP="00367EBE">
      <w:pPr>
        <w:widowControl/>
      </w:pPr>
    </w:p>
    <w:p w14:paraId="23F04233" w14:textId="77777777" w:rsidR="00367EBE" w:rsidRDefault="00367EBE" w:rsidP="00367EBE">
      <w:pPr>
        <w:widowControl/>
      </w:pPr>
      <w:r>
        <w:t>Paragraphs</w:t>
      </w:r>
      <w:r w:rsidRPr="001805AF">
        <w:t xml:space="preserve"> 1.1.1—10(5)(c) and </w:t>
      </w:r>
      <w:r>
        <w:t>10</w:t>
      </w:r>
      <w:r w:rsidRPr="001805AF">
        <w:t xml:space="preserve">(6)(g) </w:t>
      </w:r>
      <w:r>
        <w:t>require</w:t>
      </w:r>
      <w:r w:rsidRPr="001805AF">
        <w:t xml:space="preserve"> that, unless</w:t>
      </w:r>
      <w:r>
        <w:t xml:space="preserve"> expressly permitted</w:t>
      </w:r>
      <w:r w:rsidRPr="001805AF">
        <w:t xml:space="preserve">, a food for sale must not be a </w:t>
      </w:r>
      <w:r w:rsidRPr="00EC2441">
        <w:rPr>
          <w:i/>
        </w:rPr>
        <w:t>food produced using gene technology</w:t>
      </w:r>
      <w:r w:rsidRPr="00213529">
        <w:t xml:space="preserve">, or have as an ingredient or component a </w:t>
      </w:r>
      <w:r w:rsidRPr="00EC2441">
        <w:rPr>
          <w:i/>
        </w:rPr>
        <w:t>food produced using gene technology</w:t>
      </w:r>
      <w:r w:rsidRPr="00213529">
        <w:t xml:space="preserve">. </w:t>
      </w:r>
    </w:p>
    <w:p w14:paraId="5328529A" w14:textId="77777777" w:rsidR="00367EBE" w:rsidRDefault="00367EBE" w:rsidP="00367EBE">
      <w:pPr>
        <w:widowControl/>
      </w:pPr>
    </w:p>
    <w:p w14:paraId="4CF5C100" w14:textId="77777777" w:rsidR="00367EBE" w:rsidRDefault="00367EBE" w:rsidP="00367EBE">
      <w:pPr>
        <w:widowControl/>
      </w:pPr>
      <w:r>
        <w:t xml:space="preserve">LegH Prep meets the definition of </w:t>
      </w:r>
      <w:r>
        <w:rPr>
          <w:i/>
        </w:rPr>
        <w:t>food</w:t>
      </w:r>
      <w:r w:rsidRPr="00C34DBE">
        <w:rPr>
          <w:i/>
        </w:rPr>
        <w:t xml:space="preserve"> produced using gene technology</w:t>
      </w:r>
      <w:r w:rsidRPr="00B35F00">
        <w:t xml:space="preserve"> </w:t>
      </w:r>
      <w:r>
        <w:t xml:space="preserve">(see </w:t>
      </w:r>
      <w:r w:rsidRPr="00B35F00">
        <w:t>s</w:t>
      </w:r>
      <w:r>
        <w:t>ubs</w:t>
      </w:r>
      <w:r w:rsidRPr="00B35F00">
        <w:t>ection 1.1</w:t>
      </w:r>
      <w:r>
        <w:t xml:space="preserve">.2—2(3)), as it is derived from </w:t>
      </w:r>
      <w:r w:rsidRPr="00B35F00">
        <w:t xml:space="preserve">an organism </w:t>
      </w:r>
      <w:r>
        <w:t xml:space="preserve">modified using gene technology </w:t>
      </w:r>
      <w:r w:rsidRPr="00B35F00">
        <w:t xml:space="preserve">(i.e. </w:t>
      </w:r>
      <w:r>
        <w:t xml:space="preserve">derived from a </w:t>
      </w:r>
      <w:r w:rsidRPr="00B35F00">
        <w:t xml:space="preserve">GM </w:t>
      </w:r>
      <w:r w:rsidRPr="002F2749">
        <w:rPr>
          <w:i/>
        </w:rPr>
        <w:t>P.</w:t>
      </w:r>
      <w:r>
        <w:rPr>
          <w:i/>
        </w:rPr>
        <w:t xml:space="preserve"> </w:t>
      </w:r>
      <w:r w:rsidRPr="002F2749">
        <w:rPr>
          <w:i/>
        </w:rPr>
        <w:t>pastoris</w:t>
      </w:r>
      <w:r>
        <w:t xml:space="preserve"> strain</w:t>
      </w:r>
      <w:r w:rsidRPr="00B35F00">
        <w:t xml:space="preserve">). </w:t>
      </w:r>
    </w:p>
    <w:p w14:paraId="0AF9FBCA" w14:textId="77777777" w:rsidR="00367EBE" w:rsidRDefault="00367EBE" w:rsidP="00367EBE">
      <w:pPr>
        <w:widowControl/>
      </w:pPr>
    </w:p>
    <w:p w14:paraId="333D1F3E" w14:textId="77777777" w:rsidR="00367EBE" w:rsidRDefault="00367EBE" w:rsidP="00367EBE">
      <w:pPr>
        <w:widowControl/>
      </w:pPr>
      <w:r>
        <w:t>In order to be</w:t>
      </w:r>
      <w:r w:rsidRPr="001805AF" w:rsidDel="00835E0C">
        <w:t xml:space="preserve"> </w:t>
      </w:r>
      <w:r>
        <w:t>permitted for use</w:t>
      </w:r>
      <w:r w:rsidRPr="001805AF" w:rsidDel="00835E0C">
        <w:t>, e</w:t>
      </w:r>
      <w:r w:rsidDel="00835E0C">
        <w:t>xpress permission</w:t>
      </w:r>
      <w:r w:rsidRPr="001805AF" w:rsidDel="00835E0C">
        <w:t xml:space="preserve"> for</w:t>
      </w:r>
      <w:r>
        <w:t xml:space="preserve"> soy leghemoglobin in the form of LegH Prep must be given</w:t>
      </w:r>
      <w:r w:rsidRPr="001805AF" w:rsidDel="00835E0C">
        <w:t xml:space="preserve"> in a</w:t>
      </w:r>
      <w:r>
        <w:t>ccordance with Standard 1.5.2 (i.e. the LegH Prep must be listed in Schedule 26 and comply with corresponding conditions listed in the Schedule).</w:t>
      </w:r>
    </w:p>
    <w:p w14:paraId="354DA1C6" w14:textId="4CB14078" w:rsidR="00556ECD" w:rsidRPr="006716FD" w:rsidRDefault="00556ECD" w:rsidP="00556ECD">
      <w:pPr>
        <w:pStyle w:val="Heading4"/>
      </w:pPr>
      <w:r w:rsidRPr="006716FD">
        <w:lastRenderedPageBreak/>
        <w:t>1.3.1.2</w:t>
      </w:r>
      <w:r w:rsidRPr="006716FD">
        <w:tab/>
        <w:t>Identity and purity</w:t>
      </w:r>
    </w:p>
    <w:p w14:paraId="7E43FD85" w14:textId="0F0C6FD0" w:rsidR="00556ECD" w:rsidRDefault="00556ECD" w:rsidP="00556ECD">
      <w:pPr>
        <w:widowControl/>
      </w:pPr>
      <w:r>
        <w:t xml:space="preserve">Section 1.1.1—15 requires that a substance used as a nutritive substance must comply with any relevant specification set out in Schedule 3 – </w:t>
      </w:r>
      <w:r w:rsidRPr="004E1280">
        <w:rPr>
          <w:i/>
        </w:rPr>
        <w:t>Identity and purity</w:t>
      </w:r>
      <w:r>
        <w:t xml:space="preserve">. </w:t>
      </w:r>
      <w:r w:rsidRPr="00A735D3">
        <w:t>Soy</w:t>
      </w:r>
      <w:r>
        <w:t xml:space="preserve"> leghemoglobin in the form of LegH Prep is intended as a new ingredient in Australia and New Zealand</w:t>
      </w:r>
      <w:r w:rsidR="00367EBE">
        <w:t>’s</w:t>
      </w:r>
      <w:r>
        <w:t xml:space="preserve"> food supply and since there are no specifications currently provided in the Code, a specification will be required in Schedule 3. </w:t>
      </w:r>
    </w:p>
    <w:p w14:paraId="1161DA4B" w14:textId="77777777" w:rsidR="00556ECD" w:rsidRDefault="00556ECD" w:rsidP="00556ECD">
      <w:pPr>
        <w:pStyle w:val="Heading4"/>
        <w:rPr>
          <w:lang w:eastAsia="en-AU"/>
        </w:rPr>
      </w:pPr>
      <w:r>
        <w:rPr>
          <w:lang w:eastAsia="en-AU"/>
        </w:rPr>
        <w:t>1.3.1.3</w:t>
      </w:r>
      <w:r>
        <w:rPr>
          <w:lang w:eastAsia="en-AU"/>
        </w:rPr>
        <w:tab/>
        <w:t>Labelling requirements</w:t>
      </w:r>
    </w:p>
    <w:p w14:paraId="72003633" w14:textId="495FB81B" w:rsidR="00556ECD" w:rsidRDefault="00556ECD" w:rsidP="00556ECD">
      <w:pPr>
        <w:widowControl/>
      </w:pPr>
      <w:r>
        <w:t>Subsection 1.1.1—10(8) requires that food for sale must comply with all relevant labelling requirements in the Code for that food.</w:t>
      </w:r>
    </w:p>
    <w:p w14:paraId="0D2C4342" w14:textId="77777777" w:rsidR="00556ECD" w:rsidRPr="00426611" w:rsidRDefault="00556ECD" w:rsidP="00556ECD">
      <w:pPr>
        <w:widowControl/>
        <w:rPr>
          <w:i/>
          <w:szCs w:val="22"/>
          <w:lang w:eastAsia="en-AU"/>
        </w:rPr>
      </w:pPr>
    </w:p>
    <w:p w14:paraId="761CF0D9" w14:textId="77777777" w:rsidR="00556ECD" w:rsidRDefault="00556ECD" w:rsidP="00556ECD">
      <w:pPr>
        <w:widowControl/>
      </w:pPr>
      <w:r>
        <w:t>Subsection 1.2.3—4(1) requires certain foods and substances to be declared when present as ingredients in a food for sale.</w:t>
      </w:r>
      <w:r w:rsidDel="006B3BC9">
        <w:t xml:space="preserve"> </w:t>
      </w:r>
    </w:p>
    <w:p w14:paraId="4F50A5AC" w14:textId="77777777" w:rsidR="00556ECD" w:rsidRDefault="00556ECD" w:rsidP="00556ECD">
      <w:pPr>
        <w:widowControl/>
      </w:pPr>
    </w:p>
    <w:p w14:paraId="64CEFDF6" w14:textId="77777777" w:rsidR="00367EBE" w:rsidRDefault="00367EBE" w:rsidP="00367EBE">
      <w:pPr>
        <w:widowControl/>
      </w:pPr>
      <w:r>
        <w:t>Standard 1.2.4 generally requires food for sale to be labelled with a statement of ingredients, subject to certain exemptions.</w:t>
      </w:r>
    </w:p>
    <w:p w14:paraId="73F1B1E0" w14:textId="77777777" w:rsidR="00367EBE" w:rsidRDefault="00367EBE" w:rsidP="00367EBE">
      <w:pPr>
        <w:widowControl/>
      </w:pPr>
    </w:p>
    <w:p w14:paraId="1A41CBB3" w14:textId="77777777" w:rsidR="00367EBE" w:rsidRDefault="00367EBE" w:rsidP="00367EBE">
      <w:pPr>
        <w:widowControl/>
      </w:pPr>
      <w:r>
        <w:t>Standard 1.2.7 sets out the requirements and conditions for voluntary nutrition, health and related claims made about food</w:t>
      </w:r>
      <w:r w:rsidRPr="00543A2E">
        <w:t xml:space="preserve">. </w:t>
      </w:r>
    </w:p>
    <w:p w14:paraId="6930461A" w14:textId="77777777" w:rsidR="00367EBE" w:rsidRDefault="00367EBE" w:rsidP="00367EBE">
      <w:pPr>
        <w:widowControl/>
      </w:pPr>
    </w:p>
    <w:p w14:paraId="7BFE367F" w14:textId="77777777" w:rsidR="00367EBE" w:rsidRDefault="00367EBE" w:rsidP="00367EBE">
      <w:pPr>
        <w:widowControl/>
      </w:pPr>
      <w:r>
        <w:t xml:space="preserve">Standard 1.2.8 sets out nutrition information requirements for food for sale, other than infant formula products and a Permitted Health Star Rating symbol. </w:t>
      </w:r>
    </w:p>
    <w:p w14:paraId="627DAB48" w14:textId="77777777" w:rsidR="00367EBE" w:rsidRDefault="00367EBE" w:rsidP="00367EBE">
      <w:pPr>
        <w:widowControl/>
      </w:pPr>
    </w:p>
    <w:p w14:paraId="0A20E0D2" w14:textId="77777777" w:rsidR="00367EBE" w:rsidRDefault="00367EBE" w:rsidP="00367EBE">
      <w:pPr>
        <w:widowControl/>
      </w:pPr>
      <w:r>
        <w:t xml:space="preserve">Section 1.5.2—4 sets out labelling requirements for </w:t>
      </w:r>
      <w:r w:rsidRPr="003029C9">
        <w:t>foods</w:t>
      </w:r>
      <w:r>
        <w:t xml:space="preserve"> for sale</w:t>
      </w:r>
      <w:r w:rsidRPr="003029C9">
        <w:t xml:space="preserve"> </w:t>
      </w:r>
      <w:r>
        <w:t xml:space="preserve">that consist of, or have as an ingredient, food that is a </w:t>
      </w:r>
      <w:r w:rsidRPr="00C34DBE">
        <w:rPr>
          <w:i/>
        </w:rPr>
        <w:t>genetically modified food</w:t>
      </w:r>
      <w:r>
        <w:t>.</w:t>
      </w:r>
      <w:r w:rsidRPr="003029C9">
        <w:t xml:space="preserve"> </w:t>
      </w:r>
      <w:r>
        <w:t xml:space="preserve">A </w:t>
      </w:r>
      <w:r w:rsidRPr="00B34599">
        <w:rPr>
          <w:i/>
        </w:rPr>
        <w:t>genetically modified food</w:t>
      </w:r>
      <w:r>
        <w:t xml:space="preserve"> is defined in subsection 1.5.2—4(5) as a </w:t>
      </w:r>
      <w:r w:rsidRPr="00FD1F1B">
        <w:rPr>
          <w:i/>
        </w:rPr>
        <w:t>food produced using gene technology</w:t>
      </w:r>
      <w:r>
        <w:t xml:space="preserve"> that contains novel DNA or novel protein; or is listed in section S26—3 as being subject to a condition that its labelling must comply with section 1.5.2—4. </w:t>
      </w:r>
      <w:r w:rsidRPr="002F2749">
        <w:t xml:space="preserve">The requirements </w:t>
      </w:r>
      <w:r>
        <w:t>set out in</w:t>
      </w:r>
      <w:r w:rsidRPr="002F2749">
        <w:t xml:space="preserve"> section 1.5.2—4 generally apply only to foods for retail sale and to foods sold </w:t>
      </w:r>
      <w:r w:rsidRPr="00732467">
        <w:t>to</w:t>
      </w:r>
      <w:r w:rsidRPr="002F2749">
        <w:t xml:space="preserve"> a caterer</w:t>
      </w:r>
      <w:r>
        <w:rPr>
          <w:rStyle w:val="FootnoteReference"/>
        </w:rPr>
        <w:footnoteReference w:id="8"/>
      </w:r>
      <w:r w:rsidRPr="002F2749">
        <w:t xml:space="preserve"> under </w:t>
      </w:r>
      <w:r>
        <w:t>paragraphs</w:t>
      </w:r>
      <w:r w:rsidRPr="002F2749">
        <w:t xml:space="preserve"> 1.2.1—8(1)</w:t>
      </w:r>
      <w:r>
        <w:t>(k) (food for sale required to bear a label), 1.2.1—9(3)(b) (food for sale not required to bear a label),</w:t>
      </w:r>
      <w:r w:rsidRPr="002F2749">
        <w:t xml:space="preserve"> and 1.2.1—15</w:t>
      </w:r>
      <w:r>
        <w:t>(f)</w:t>
      </w:r>
      <w:r w:rsidRPr="002F2749">
        <w:t xml:space="preserve"> </w:t>
      </w:r>
      <w:r>
        <w:t>(food sold to a caterer)</w:t>
      </w:r>
      <w:r w:rsidRPr="002F2749">
        <w:t>.</w:t>
      </w:r>
      <w:r>
        <w:t xml:space="preserve"> The requirement to label food as ‘genetically modified’ does not apply to GM food intended for immediate consumption; and which is prepared and sold </w:t>
      </w:r>
      <w:r w:rsidRPr="00090D27">
        <w:rPr>
          <w:i/>
        </w:rPr>
        <w:t>from</w:t>
      </w:r>
      <w:r>
        <w:t xml:space="preserve"> food premises and vending </w:t>
      </w:r>
      <w:r w:rsidDel="00F43C1B">
        <w:t>vehicles</w:t>
      </w:r>
      <w:r>
        <w:t>, including restaurants, take away outlets, caterers, or self-catering institutions (paragraph 1.5.2—4(1)(e)).</w:t>
      </w:r>
    </w:p>
    <w:p w14:paraId="2A5D8ED7" w14:textId="77777777" w:rsidR="00367EBE" w:rsidRDefault="00367EBE" w:rsidP="00367EBE">
      <w:pPr>
        <w:widowControl/>
      </w:pPr>
    </w:p>
    <w:p w14:paraId="623D8A92" w14:textId="235DFD2A" w:rsidR="00367EBE" w:rsidRPr="00F679A6" w:rsidRDefault="00367EBE" w:rsidP="00367EBE">
      <w:pPr>
        <w:widowControl/>
      </w:pPr>
      <w:r>
        <w:t>For further discussion about labelling requirements in the Code that would apply to s</w:t>
      </w:r>
      <w:r w:rsidRPr="00A735D3">
        <w:t>oy</w:t>
      </w:r>
      <w:r>
        <w:t xml:space="preserve"> leghemoglobin (in the form of LegH Prep)</w:t>
      </w:r>
      <w:r w:rsidR="00D37AA3">
        <w:t>, s</w:t>
      </w:r>
      <w:r>
        <w:t>ee section 3.2 of this report.</w:t>
      </w:r>
    </w:p>
    <w:p w14:paraId="286B74AD" w14:textId="58DB6DE5" w:rsidR="00F679A6" w:rsidRDefault="00F679A6" w:rsidP="00F679A6">
      <w:pPr>
        <w:pStyle w:val="Heading3"/>
        <w:keepNext w:val="0"/>
        <w:widowControl/>
      </w:pPr>
      <w:bookmarkStart w:id="38" w:name="_Toc26284642"/>
      <w:bookmarkStart w:id="39" w:name="_Toc26980493"/>
      <w:bookmarkStart w:id="40" w:name="_Toc41576647"/>
      <w:bookmarkStart w:id="41" w:name="_Toc42875210"/>
      <w:bookmarkStart w:id="42" w:name="_Toc43128115"/>
      <w:r>
        <w:t>1.3.2</w:t>
      </w:r>
      <w:r>
        <w:tab/>
        <w:t>International Regulations</w:t>
      </w:r>
      <w:bookmarkEnd w:id="38"/>
      <w:bookmarkEnd w:id="39"/>
      <w:bookmarkEnd w:id="40"/>
      <w:bookmarkEnd w:id="41"/>
      <w:bookmarkEnd w:id="42"/>
    </w:p>
    <w:p w14:paraId="62F57A27" w14:textId="65497860" w:rsidR="00476EAB" w:rsidRDefault="00476EAB" w:rsidP="00F679A6">
      <w:pPr>
        <w:pStyle w:val="Heading4"/>
        <w:keepNext w:val="0"/>
        <w:widowControl/>
        <w:rPr>
          <w:lang w:eastAsia="en-AU"/>
        </w:rPr>
      </w:pPr>
      <w:r>
        <w:rPr>
          <w:lang w:eastAsia="en-AU"/>
        </w:rPr>
        <w:t>1.3.2.1</w:t>
      </w:r>
      <w:r w:rsidR="000143DF">
        <w:rPr>
          <w:lang w:eastAsia="en-AU"/>
        </w:rPr>
        <w:tab/>
        <w:t>Codex</w:t>
      </w:r>
    </w:p>
    <w:p w14:paraId="2CDCEF89" w14:textId="32707EB5" w:rsidR="002D0DC5" w:rsidRDefault="009C0D8B" w:rsidP="00A42BFC">
      <w:pPr>
        <w:spacing w:after="240"/>
        <w:rPr>
          <w:color w:val="000000" w:themeColor="text1"/>
        </w:rPr>
      </w:pPr>
      <w:r w:rsidRPr="009C0D8B">
        <w:rPr>
          <w:lang w:eastAsia="en-AU" w:bidi="ar-SA"/>
        </w:rPr>
        <w:t xml:space="preserve">Codex provides general guidance on safety assessment, but </w:t>
      </w:r>
      <w:r w:rsidR="003C205C">
        <w:rPr>
          <w:lang w:eastAsia="en-AU" w:bidi="ar-SA"/>
        </w:rPr>
        <w:t>does not direct its members to</w:t>
      </w:r>
      <w:r w:rsidRPr="009C0D8B">
        <w:rPr>
          <w:lang w:eastAsia="en-AU" w:bidi="ar-SA"/>
        </w:rPr>
        <w:t xml:space="preserve"> specific regulatory approach</w:t>
      </w:r>
      <w:r w:rsidR="00D729C2">
        <w:rPr>
          <w:lang w:eastAsia="en-AU" w:bidi="ar-SA"/>
        </w:rPr>
        <w:t>es</w:t>
      </w:r>
      <w:r>
        <w:rPr>
          <w:lang w:eastAsia="en-AU" w:bidi="ar-SA"/>
        </w:rPr>
        <w:t xml:space="preserve"> </w:t>
      </w:r>
      <w:r w:rsidR="00453781">
        <w:rPr>
          <w:lang w:eastAsia="en-AU" w:bidi="ar-SA"/>
        </w:rPr>
        <w:t xml:space="preserve">relevant </w:t>
      </w:r>
      <w:r w:rsidR="00D729C2">
        <w:rPr>
          <w:lang w:eastAsia="en-AU" w:bidi="ar-SA"/>
        </w:rPr>
        <w:t>to soy leghemoglobin</w:t>
      </w:r>
      <w:r>
        <w:rPr>
          <w:lang w:eastAsia="en-AU" w:bidi="ar-SA"/>
        </w:rPr>
        <w:t>.</w:t>
      </w:r>
      <w:r w:rsidRPr="009C0D8B">
        <w:rPr>
          <w:lang w:eastAsia="en-AU" w:bidi="ar-SA"/>
        </w:rPr>
        <w:t xml:space="preserve"> </w:t>
      </w:r>
      <w:r w:rsidR="00320EFF">
        <w:rPr>
          <w:lang w:eastAsia="en-AU" w:bidi="ar-SA"/>
        </w:rPr>
        <w:t xml:space="preserve">FSANZ follows </w:t>
      </w:r>
      <w:r>
        <w:rPr>
          <w:lang w:eastAsia="en-AU" w:bidi="ar-SA"/>
        </w:rPr>
        <w:t>this</w:t>
      </w:r>
      <w:r w:rsidR="00487587">
        <w:rPr>
          <w:lang w:eastAsia="en-AU" w:bidi="ar-SA"/>
        </w:rPr>
        <w:t xml:space="preserve"> </w:t>
      </w:r>
      <w:r w:rsidR="00320EFF">
        <w:rPr>
          <w:lang w:eastAsia="en-AU" w:bidi="ar-SA"/>
        </w:rPr>
        <w:t xml:space="preserve">internationally </w:t>
      </w:r>
      <w:r w:rsidR="0028290C" w:rsidRPr="00B012C9">
        <w:rPr>
          <w:color w:val="000000" w:themeColor="text1"/>
        </w:rPr>
        <w:t xml:space="preserve">recognised risk analysis framework </w:t>
      </w:r>
      <w:r w:rsidR="0028290C">
        <w:rPr>
          <w:color w:val="000000" w:themeColor="text1"/>
        </w:rPr>
        <w:t>to undertake the safety assessments for applications</w:t>
      </w:r>
      <w:r w:rsidR="002D0DC5">
        <w:rPr>
          <w:color w:val="000000" w:themeColor="text1"/>
        </w:rPr>
        <w:t>. For the purposes of assessing A1186</w:t>
      </w:r>
      <w:r w:rsidR="0026285E">
        <w:rPr>
          <w:color w:val="000000" w:themeColor="text1"/>
        </w:rPr>
        <w:t xml:space="preserve"> </w:t>
      </w:r>
      <w:r w:rsidR="00433DFA">
        <w:rPr>
          <w:color w:val="000000" w:themeColor="text1"/>
        </w:rPr>
        <w:t>in relation to</w:t>
      </w:r>
      <w:r w:rsidR="0026285E">
        <w:rPr>
          <w:color w:val="000000" w:themeColor="text1"/>
        </w:rPr>
        <w:t xml:space="preserve"> toxicology and GM safety, FSANZ has considered the following (respectively)</w:t>
      </w:r>
      <w:r w:rsidR="002D0DC5">
        <w:rPr>
          <w:color w:val="000000" w:themeColor="text1"/>
        </w:rPr>
        <w:t>:</w:t>
      </w:r>
    </w:p>
    <w:p w14:paraId="01CBCC97" w14:textId="3D75811F" w:rsidR="002D0DC5" w:rsidRPr="002D0DC5" w:rsidRDefault="0026285E" w:rsidP="002D0DC5">
      <w:pPr>
        <w:pStyle w:val="ListParagraph"/>
        <w:numPr>
          <w:ilvl w:val="0"/>
          <w:numId w:val="47"/>
        </w:numPr>
        <w:rPr>
          <w:color w:val="000000" w:themeColor="text1"/>
        </w:rPr>
      </w:pPr>
      <w:r>
        <w:rPr>
          <w:lang w:val="en" w:eastAsia="en-AU" w:bidi="ar-SA"/>
        </w:rPr>
        <w:t>T</w:t>
      </w:r>
      <w:r w:rsidR="002D0DC5">
        <w:rPr>
          <w:color w:val="000000" w:themeColor="text1"/>
        </w:rPr>
        <w:t xml:space="preserve">he </w:t>
      </w:r>
      <w:r w:rsidR="002D0DC5" w:rsidRPr="007378C0">
        <w:rPr>
          <w:color w:val="000000" w:themeColor="text1"/>
        </w:rPr>
        <w:t>International Programme on Chemical Safety’s Principles and Methods for the Risk Assessment of Chemicals in Food</w:t>
      </w:r>
      <w:r w:rsidR="00621863">
        <w:rPr>
          <w:color w:val="000000" w:themeColor="text1"/>
        </w:rPr>
        <w:t xml:space="preserve"> (FAO/WHO</w:t>
      </w:r>
      <w:r>
        <w:rPr>
          <w:color w:val="000000" w:themeColor="text1"/>
        </w:rPr>
        <w:t xml:space="preserve"> 2009). This guideline was developed by the</w:t>
      </w:r>
      <w:r>
        <w:rPr>
          <w:rFonts w:cs="Arial"/>
          <w:color w:val="1A1A1A"/>
          <w:lang w:val="en"/>
        </w:rPr>
        <w:t xml:space="preserve"> the Joint FAO/WHO</w:t>
      </w:r>
      <w:r w:rsidR="000B0B52">
        <w:rPr>
          <w:rStyle w:val="FootnoteReference"/>
          <w:color w:val="000000" w:themeColor="text1"/>
        </w:rPr>
        <w:footnoteReference w:id="9"/>
      </w:r>
      <w:r>
        <w:rPr>
          <w:rFonts w:cs="Arial"/>
          <w:color w:val="1A1A1A"/>
          <w:lang w:val="en"/>
        </w:rPr>
        <w:t xml:space="preserve"> Expert Committee on Food Additives (JECFA) and the Joint FAO/WHO Meeting on Pesticide Residues (JMPR), who serve as scientific advisory bodies to the Codex Alimentarius Commission.</w:t>
      </w:r>
    </w:p>
    <w:p w14:paraId="4E9BD743" w14:textId="49A01584" w:rsidR="000143DF" w:rsidRPr="000143DF" w:rsidRDefault="00612D92" w:rsidP="002D0DC5">
      <w:pPr>
        <w:pStyle w:val="ListParagraph"/>
        <w:numPr>
          <w:ilvl w:val="0"/>
          <w:numId w:val="46"/>
        </w:numPr>
        <w:rPr>
          <w:lang w:eastAsia="en-AU" w:bidi="ar-SA"/>
        </w:rPr>
      </w:pPr>
      <w:r>
        <w:rPr>
          <w:lang w:eastAsia="en-AU" w:bidi="ar-SA"/>
        </w:rPr>
        <w:t xml:space="preserve">The </w:t>
      </w:r>
      <w:r w:rsidR="00862630" w:rsidRPr="002D0DC5">
        <w:rPr>
          <w:color w:val="000000" w:themeColor="text1"/>
        </w:rPr>
        <w:t>FAO/WHO</w:t>
      </w:r>
      <w:r w:rsidR="00862630">
        <w:rPr>
          <w:lang w:eastAsia="en-AU" w:bidi="ar-SA"/>
        </w:rPr>
        <w:t xml:space="preserve"> </w:t>
      </w:r>
      <w:r>
        <w:rPr>
          <w:lang w:eastAsia="en-AU" w:bidi="ar-SA"/>
        </w:rPr>
        <w:t xml:space="preserve">Codex </w:t>
      </w:r>
      <w:r w:rsidR="00487587">
        <w:rPr>
          <w:lang w:eastAsia="en-AU" w:bidi="ar-SA"/>
        </w:rPr>
        <w:t>A</w:t>
      </w:r>
      <w:r>
        <w:rPr>
          <w:lang w:eastAsia="en-AU" w:bidi="ar-SA"/>
        </w:rPr>
        <w:t xml:space="preserve">limentarius provides guidance to members on </w:t>
      </w:r>
      <w:r w:rsidR="00862630">
        <w:rPr>
          <w:lang w:eastAsia="en-AU" w:bidi="ar-SA"/>
        </w:rPr>
        <w:t xml:space="preserve">internationally agreed </w:t>
      </w:r>
      <w:r w:rsidR="00862630" w:rsidRPr="002D0DC5">
        <w:rPr>
          <w:color w:val="000000" w:themeColor="text1"/>
        </w:rPr>
        <w:t>GM food safety guidelines</w:t>
      </w:r>
      <w:r w:rsidR="00320EFF" w:rsidRPr="002D0DC5">
        <w:rPr>
          <w:color w:val="000000" w:themeColor="text1"/>
        </w:rPr>
        <w:t xml:space="preserve"> </w:t>
      </w:r>
      <w:r w:rsidR="00621863">
        <w:rPr>
          <w:color w:val="000000" w:themeColor="text1"/>
        </w:rPr>
        <w:t>(Codex</w:t>
      </w:r>
      <w:r w:rsidR="00320EFF" w:rsidRPr="002D0DC5">
        <w:rPr>
          <w:color w:val="000000" w:themeColor="text1"/>
        </w:rPr>
        <w:t xml:space="preserve"> 2009)</w:t>
      </w:r>
      <w:r w:rsidR="0026285E">
        <w:rPr>
          <w:lang w:eastAsia="en-AU" w:bidi="ar-SA"/>
        </w:rPr>
        <w:t>.</w:t>
      </w:r>
    </w:p>
    <w:p w14:paraId="3D67D050" w14:textId="09EEBC41" w:rsidR="00F679A6" w:rsidRDefault="000143DF" w:rsidP="00F679A6">
      <w:pPr>
        <w:pStyle w:val="Heading4"/>
        <w:keepNext w:val="0"/>
        <w:widowControl/>
        <w:rPr>
          <w:lang w:eastAsia="en-AU"/>
        </w:rPr>
      </w:pPr>
      <w:r>
        <w:rPr>
          <w:lang w:eastAsia="en-AU"/>
        </w:rPr>
        <w:lastRenderedPageBreak/>
        <w:t>1.3.2.2</w:t>
      </w:r>
      <w:r w:rsidR="00F679A6">
        <w:rPr>
          <w:lang w:eastAsia="en-AU"/>
        </w:rPr>
        <w:tab/>
        <w:t>United States</w:t>
      </w:r>
    </w:p>
    <w:p w14:paraId="1B7BB845" w14:textId="1ADC5C24" w:rsidR="00A260F0" w:rsidRDefault="00A260F0" w:rsidP="00A260F0">
      <w:pPr>
        <w:widowControl/>
        <w:rPr>
          <w:rFonts w:cs="Arial"/>
          <w:szCs w:val="22"/>
          <w:lang w:eastAsia="en-AU" w:bidi="ar-SA"/>
        </w:rPr>
      </w:pPr>
      <w:r w:rsidRPr="001753D9">
        <w:rPr>
          <w:rFonts w:cs="Arial"/>
          <w:szCs w:val="22"/>
          <w:lang w:eastAsia="en-AU" w:bidi="ar-SA"/>
        </w:rPr>
        <w:t xml:space="preserve">Impossible Foods </w:t>
      </w:r>
      <w:r w:rsidRPr="00496599">
        <w:rPr>
          <w:rFonts w:cs="Arial"/>
          <w:szCs w:val="22"/>
          <w:lang w:eastAsia="en-AU" w:bidi="ar-SA"/>
        </w:rPr>
        <w:t>obtained self-</w:t>
      </w:r>
      <w:r>
        <w:rPr>
          <w:rFonts w:cs="Arial"/>
          <w:szCs w:val="22"/>
          <w:lang w:eastAsia="en-AU" w:bidi="ar-SA"/>
        </w:rPr>
        <w:t>affirmed US</w:t>
      </w:r>
      <w:r w:rsidRPr="00496599">
        <w:rPr>
          <w:rFonts w:cs="Arial"/>
          <w:szCs w:val="22"/>
          <w:lang w:eastAsia="en-AU" w:bidi="ar-SA"/>
        </w:rPr>
        <w:t xml:space="preserve">FDA GRAS status </w:t>
      </w:r>
      <w:r>
        <w:rPr>
          <w:lang w:eastAsia="en-AU" w:bidi="ar-SA"/>
        </w:rPr>
        <w:t xml:space="preserve">(GRN 737) </w:t>
      </w:r>
      <w:r>
        <w:rPr>
          <w:rFonts w:cs="Arial"/>
          <w:szCs w:val="22"/>
          <w:lang w:eastAsia="en-AU" w:bidi="ar-SA"/>
        </w:rPr>
        <w:t xml:space="preserve">in July 2018 </w:t>
      </w:r>
      <w:r w:rsidRPr="00496599">
        <w:rPr>
          <w:rFonts w:cs="Arial"/>
          <w:szCs w:val="22"/>
          <w:lang w:eastAsia="en-AU" w:bidi="ar-SA"/>
        </w:rPr>
        <w:t xml:space="preserve">to use </w:t>
      </w:r>
      <w:r w:rsidR="000A64CF">
        <w:rPr>
          <w:rFonts w:cs="Arial"/>
          <w:szCs w:val="22"/>
          <w:lang w:eastAsia="en-AU" w:bidi="ar-SA"/>
        </w:rPr>
        <w:t xml:space="preserve">its </w:t>
      </w:r>
      <w:r w:rsidRPr="00496599">
        <w:rPr>
          <w:rFonts w:cs="Arial"/>
          <w:szCs w:val="22"/>
          <w:lang w:eastAsia="en-AU" w:bidi="ar-SA"/>
        </w:rPr>
        <w:t xml:space="preserve">soy leghemoglobin at levels up to 0.8% in </w:t>
      </w:r>
      <w:r>
        <w:rPr>
          <w:rFonts w:cs="Arial"/>
          <w:szCs w:val="22"/>
          <w:lang w:eastAsia="en-AU" w:bidi="ar-SA"/>
        </w:rPr>
        <w:t>its</w:t>
      </w:r>
      <w:r w:rsidRPr="00496599">
        <w:rPr>
          <w:rFonts w:cs="Arial"/>
          <w:szCs w:val="22"/>
          <w:lang w:eastAsia="en-AU" w:bidi="ar-SA"/>
        </w:rPr>
        <w:t xml:space="preserve"> </w:t>
      </w:r>
      <w:r>
        <w:rPr>
          <w:rFonts w:cs="Arial"/>
          <w:szCs w:val="22"/>
          <w:lang w:eastAsia="en-AU" w:bidi="ar-SA"/>
        </w:rPr>
        <w:t>raw</w:t>
      </w:r>
      <w:r w:rsidRPr="00496599">
        <w:rPr>
          <w:rFonts w:cs="Arial"/>
          <w:szCs w:val="22"/>
          <w:lang w:eastAsia="en-AU" w:bidi="ar-SA"/>
        </w:rPr>
        <w:t xml:space="preserve"> ground</w:t>
      </w:r>
      <w:r>
        <w:rPr>
          <w:rFonts w:cs="Arial"/>
          <w:szCs w:val="22"/>
          <w:lang w:eastAsia="en-AU" w:bidi="ar-SA"/>
        </w:rPr>
        <w:t xml:space="preserve"> (minced)</w:t>
      </w:r>
      <w:r w:rsidRPr="00496599">
        <w:rPr>
          <w:rFonts w:cs="Arial"/>
          <w:szCs w:val="22"/>
          <w:lang w:eastAsia="en-AU" w:bidi="ar-SA"/>
        </w:rPr>
        <w:t xml:space="preserve"> beef analogue products as a </w:t>
      </w:r>
      <w:r w:rsidRPr="00275118">
        <w:rPr>
          <w:rFonts w:cs="Arial"/>
          <w:color w:val="000000"/>
          <w:szCs w:val="22"/>
        </w:rPr>
        <w:t>flavour optimiser</w:t>
      </w:r>
      <w:r w:rsidRPr="00496599">
        <w:rPr>
          <w:rFonts w:cs="Arial"/>
          <w:szCs w:val="22"/>
          <w:lang w:eastAsia="en-AU" w:bidi="ar-SA"/>
        </w:rPr>
        <w:t>.</w:t>
      </w:r>
      <w:r w:rsidRPr="001753D9">
        <w:rPr>
          <w:rFonts w:cs="Arial"/>
          <w:szCs w:val="22"/>
          <w:lang w:eastAsia="en-AU" w:bidi="ar-SA"/>
        </w:rPr>
        <w:t xml:space="preserve"> In addition, </w:t>
      </w:r>
      <w:r>
        <w:rPr>
          <w:rFonts w:cs="Arial"/>
          <w:szCs w:val="22"/>
          <w:lang w:eastAsia="en-AU" w:bidi="ar-SA"/>
        </w:rPr>
        <w:t>t</w:t>
      </w:r>
      <w:r w:rsidRPr="001753D9">
        <w:rPr>
          <w:rFonts w:cs="Arial"/>
          <w:szCs w:val="22"/>
          <w:lang w:eastAsia="en-AU" w:bidi="ar-SA"/>
        </w:rPr>
        <w:t xml:space="preserve">he </w:t>
      </w:r>
      <w:r>
        <w:rPr>
          <w:rFonts w:cs="Arial"/>
          <w:szCs w:val="22"/>
          <w:lang w:eastAsia="en-AU" w:bidi="ar-SA"/>
        </w:rPr>
        <w:t>applicant</w:t>
      </w:r>
      <w:r w:rsidRPr="001753D9">
        <w:rPr>
          <w:rFonts w:cs="Arial"/>
          <w:szCs w:val="22"/>
          <w:lang w:eastAsia="en-AU" w:bidi="ar-SA"/>
        </w:rPr>
        <w:t xml:space="preserve"> lodged a colour additive petition to the </w:t>
      </w:r>
      <w:r>
        <w:rPr>
          <w:rFonts w:cs="Arial"/>
          <w:szCs w:val="22"/>
          <w:lang w:eastAsia="en-AU" w:bidi="ar-SA"/>
        </w:rPr>
        <w:t>US</w:t>
      </w:r>
      <w:r w:rsidRPr="001753D9">
        <w:rPr>
          <w:rFonts w:cs="Arial"/>
          <w:szCs w:val="22"/>
          <w:lang w:eastAsia="en-AU" w:bidi="ar-SA"/>
        </w:rPr>
        <w:t>FDA</w:t>
      </w:r>
      <w:r>
        <w:rPr>
          <w:rFonts w:cs="Arial"/>
          <w:szCs w:val="22"/>
          <w:lang w:eastAsia="en-AU" w:bidi="ar-SA"/>
        </w:rPr>
        <w:t xml:space="preserve"> </w:t>
      </w:r>
      <w:r w:rsidR="00AF789F">
        <w:rPr>
          <w:rFonts w:cs="Arial"/>
          <w:szCs w:val="22"/>
          <w:lang w:eastAsia="en-AU" w:bidi="ar-SA"/>
        </w:rPr>
        <w:t xml:space="preserve">in response to their request </w:t>
      </w:r>
      <w:r>
        <w:rPr>
          <w:rFonts w:cs="Arial"/>
          <w:szCs w:val="22"/>
          <w:lang w:eastAsia="en-AU" w:bidi="ar-SA"/>
        </w:rPr>
        <w:t xml:space="preserve">in </w:t>
      </w:r>
      <w:r w:rsidRPr="001753D9">
        <w:rPr>
          <w:rFonts w:cs="Arial"/>
          <w:szCs w:val="22"/>
          <w:lang w:eastAsia="en-AU" w:bidi="ar-SA"/>
        </w:rPr>
        <w:t xml:space="preserve">November 2018 to </w:t>
      </w:r>
      <w:r w:rsidRPr="00275118">
        <w:rPr>
          <w:rFonts w:cs="Arial"/>
          <w:color w:val="000000"/>
          <w:szCs w:val="22"/>
        </w:rPr>
        <w:t>amend the colo</w:t>
      </w:r>
      <w:r>
        <w:rPr>
          <w:rFonts w:cs="Arial"/>
          <w:color w:val="000000"/>
          <w:szCs w:val="22"/>
        </w:rPr>
        <w:t>u</w:t>
      </w:r>
      <w:r w:rsidRPr="00275118">
        <w:rPr>
          <w:rFonts w:cs="Arial"/>
          <w:color w:val="000000"/>
          <w:szCs w:val="22"/>
        </w:rPr>
        <w:t xml:space="preserve">r additive regulations in 21 CFR part 73, </w:t>
      </w:r>
      <w:r>
        <w:rPr>
          <w:rFonts w:cs="Arial"/>
          <w:color w:val="000000"/>
          <w:szCs w:val="22"/>
        </w:rPr>
        <w:t>‘</w:t>
      </w:r>
      <w:r w:rsidRPr="00275118">
        <w:rPr>
          <w:rFonts w:cs="Arial"/>
          <w:color w:val="000000"/>
          <w:szCs w:val="22"/>
        </w:rPr>
        <w:t>Listing of Color Addi</w:t>
      </w:r>
      <w:r>
        <w:rPr>
          <w:rFonts w:cs="Arial"/>
          <w:color w:val="000000"/>
          <w:szCs w:val="22"/>
        </w:rPr>
        <w:t>tives Exempt from Certification’</w:t>
      </w:r>
      <w:r w:rsidRPr="001753D9">
        <w:rPr>
          <w:rFonts w:cs="Arial"/>
          <w:szCs w:val="22"/>
          <w:lang w:eastAsia="en-AU" w:bidi="ar-SA"/>
        </w:rPr>
        <w:t>.</w:t>
      </w:r>
      <w:r>
        <w:rPr>
          <w:rFonts w:cs="Arial"/>
          <w:szCs w:val="22"/>
          <w:lang w:eastAsia="en-AU" w:bidi="ar-SA"/>
        </w:rPr>
        <w:t xml:space="preserve"> A risk assessment conducted by the USFDA as part of the colour additive petition concluded that there were no toxicological concerns regarding the proposed use of soy leghemoglobin in ground beef analogue products.</w:t>
      </w:r>
      <w:r w:rsidRPr="001753D9" w:rsidDel="00FA793D">
        <w:rPr>
          <w:rFonts w:cs="Arial"/>
          <w:szCs w:val="22"/>
          <w:lang w:eastAsia="en-AU" w:bidi="ar-SA"/>
        </w:rPr>
        <w:t xml:space="preserve"> </w:t>
      </w:r>
      <w:r w:rsidR="00FA793D" w:rsidRPr="001753D9">
        <w:rPr>
          <w:rFonts w:cs="Arial"/>
          <w:szCs w:val="22"/>
          <w:lang w:eastAsia="en-AU" w:bidi="ar-SA"/>
        </w:rPr>
        <w:t xml:space="preserve">This rule </w:t>
      </w:r>
      <w:r w:rsidR="00FA793D">
        <w:rPr>
          <w:rFonts w:cs="Arial"/>
          <w:szCs w:val="22"/>
          <w:lang w:eastAsia="en-AU" w:bidi="ar-SA"/>
        </w:rPr>
        <w:t>came into</w:t>
      </w:r>
      <w:r w:rsidR="00FA793D" w:rsidRPr="001753D9">
        <w:rPr>
          <w:rFonts w:cs="Arial"/>
          <w:szCs w:val="22"/>
          <w:lang w:eastAsia="en-AU" w:bidi="ar-SA"/>
        </w:rPr>
        <w:t xml:space="preserve"> effect </w:t>
      </w:r>
      <w:r w:rsidR="00FA793D">
        <w:rPr>
          <w:rFonts w:cs="Arial"/>
          <w:szCs w:val="22"/>
          <w:lang w:eastAsia="en-AU" w:bidi="ar-SA"/>
        </w:rPr>
        <w:t>in</w:t>
      </w:r>
      <w:r w:rsidR="00FA793D" w:rsidRPr="001753D9">
        <w:rPr>
          <w:rFonts w:cs="Arial"/>
          <w:szCs w:val="22"/>
          <w:lang w:eastAsia="en-AU" w:bidi="ar-SA"/>
        </w:rPr>
        <w:t xml:space="preserve"> 4 September 2019</w:t>
      </w:r>
      <w:r>
        <w:rPr>
          <w:rStyle w:val="FootnoteReference"/>
          <w:rFonts w:cs="Arial"/>
          <w:szCs w:val="22"/>
          <w:lang w:eastAsia="en-AU" w:bidi="ar-SA"/>
        </w:rPr>
        <w:footnoteReference w:id="10"/>
      </w:r>
      <w:r w:rsidR="004474CF">
        <w:rPr>
          <w:rFonts w:cs="Arial"/>
          <w:szCs w:val="22"/>
          <w:lang w:eastAsia="en-AU" w:bidi="ar-SA"/>
        </w:rPr>
        <w:t>.</w:t>
      </w:r>
      <w:r w:rsidR="00E46423">
        <w:rPr>
          <w:rFonts w:cs="Arial"/>
          <w:szCs w:val="22"/>
          <w:lang w:eastAsia="en-AU" w:bidi="ar-SA"/>
        </w:rPr>
        <w:t xml:space="preserve"> </w:t>
      </w:r>
      <w:r w:rsidR="0026717A">
        <w:rPr>
          <w:rFonts w:cs="Arial"/>
          <w:szCs w:val="22"/>
          <w:lang w:eastAsia="en-AU" w:bidi="ar-SA"/>
        </w:rPr>
        <w:t>US</w:t>
      </w:r>
      <w:r w:rsidR="001D43BB">
        <w:rPr>
          <w:lang w:val="en"/>
        </w:rPr>
        <w:t xml:space="preserve">FDA currently has </w:t>
      </w:r>
      <w:r w:rsidR="000A64CF">
        <w:rPr>
          <w:lang w:val="en"/>
        </w:rPr>
        <w:t xml:space="preserve">also </w:t>
      </w:r>
      <w:r w:rsidR="001D43BB">
        <w:rPr>
          <w:lang w:val="en"/>
        </w:rPr>
        <w:t xml:space="preserve">a policy statement that identifies fortification practices that manufacturers are encouraged to follow. However, this policy </w:t>
      </w:r>
      <w:r w:rsidR="007C26E4">
        <w:rPr>
          <w:lang w:val="en"/>
        </w:rPr>
        <w:t>is guidance only</w:t>
      </w:r>
      <w:r w:rsidR="001D43BB">
        <w:rPr>
          <w:lang w:val="en"/>
        </w:rPr>
        <w:t xml:space="preserve">, and </w:t>
      </w:r>
      <w:r w:rsidR="0026717A">
        <w:rPr>
          <w:lang w:val="en"/>
        </w:rPr>
        <w:t>US</w:t>
      </w:r>
      <w:r w:rsidR="001D43BB">
        <w:rPr>
          <w:lang w:val="en"/>
        </w:rPr>
        <w:t>FDA employs labeling requirements rather than rigid standards for nutrient composition to assist consumers.</w:t>
      </w:r>
    </w:p>
    <w:p w14:paraId="498C2626" w14:textId="6453DE75" w:rsidR="00A34D0A" w:rsidRDefault="000143DF" w:rsidP="00A34D0A">
      <w:pPr>
        <w:pStyle w:val="Heading4"/>
        <w:rPr>
          <w:lang w:eastAsia="en-AU"/>
        </w:rPr>
      </w:pPr>
      <w:r>
        <w:rPr>
          <w:lang w:eastAsia="en-AU"/>
        </w:rPr>
        <w:t>1.3.2.3</w:t>
      </w:r>
      <w:r w:rsidR="00A34D0A">
        <w:rPr>
          <w:lang w:eastAsia="en-AU"/>
        </w:rPr>
        <w:tab/>
        <w:t>Canada</w:t>
      </w:r>
    </w:p>
    <w:p w14:paraId="405CFA7B" w14:textId="3BB7091A" w:rsidR="00A34D0A" w:rsidRDefault="00A34D0A" w:rsidP="00A34D0A">
      <w:r w:rsidRPr="00DD3371">
        <w:t>In January 2020, Impossible Foods received a letter of no objection on the use of soy leghemoglobin preparation (LegH Prep) from Health Canada for use in ground</w:t>
      </w:r>
      <w:r w:rsidR="000C299F">
        <w:t xml:space="preserve"> </w:t>
      </w:r>
      <w:r w:rsidRPr="00DD3371">
        <w:t>beef analogues at leve</w:t>
      </w:r>
      <w:r w:rsidR="004431B5">
        <w:t>l up to 0.8% soy leghemoglobin.</w:t>
      </w:r>
    </w:p>
    <w:p w14:paraId="4A02064B" w14:textId="69477DDC" w:rsidR="00A34D0A" w:rsidRPr="00DD3371" w:rsidRDefault="000143DF" w:rsidP="00A34D0A">
      <w:pPr>
        <w:pStyle w:val="Heading4"/>
      </w:pPr>
      <w:r>
        <w:t>1.3.2.4</w:t>
      </w:r>
      <w:r w:rsidR="00A34D0A" w:rsidRPr="00DD3371">
        <w:tab/>
        <w:t>Singapore</w:t>
      </w:r>
    </w:p>
    <w:p w14:paraId="4AB83B45" w14:textId="6E222211" w:rsidR="00A34D0A" w:rsidRPr="00275118" w:rsidRDefault="00A34D0A" w:rsidP="00FF6B83">
      <w:pPr>
        <w:widowControl/>
        <w:rPr>
          <w:lang w:bidi="ar-SA"/>
        </w:rPr>
      </w:pPr>
      <w:r>
        <w:rPr>
          <w:lang w:bidi="ar-SA"/>
        </w:rPr>
        <w:t>The Agri-Food and Veterinary Authority (now the Singapore Food Agency) in August 2018 permitted the applicant’s soy leghemoglobin in ‘plant-based meat analogues’ at levels up to 0.45% (SFA 2019).</w:t>
      </w:r>
      <w:r w:rsidR="00FF6B83" w:rsidRPr="00FF6B83">
        <w:rPr>
          <w:lang w:bidi="ar-SA"/>
        </w:rPr>
        <w:t xml:space="preserve"> </w:t>
      </w:r>
      <w:r w:rsidR="00FF6B83">
        <w:rPr>
          <w:lang w:bidi="ar-SA"/>
        </w:rPr>
        <w:t>FSANZ consulted with the SFA to discuss their assessment processes, and to understand why their permissions were for 0.45% instead of the 0.8% requested in application A1186.</w:t>
      </w:r>
      <w:r>
        <w:rPr>
          <w:lang w:bidi="ar-SA"/>
        </w:rPr>
        <w:t xml:space="preserve"> </w:t>
      </w:r>
      <w:r w:rsidR="00FF6B83">
        <w:rPr>
          <w:lang w:bidi="ar-SA"/>
        </w:rPr>
        <w:t xml:space="preserve">The SFA representatives indicated they undertook a risk analysis similar to FSANZ, and that </w:t>
      </w:r>
      <w:r w:rsidR="000C299F">
        <w:rPr>
          <w:lang w:bidi="ar-SA"/>
        </w:rPr>
        <w:t xml:space="preserve">the level was permitted </w:t>
      </w:r>
      <w:r>
        <w:rPr>
          <w:lang w:bidi="ar-SA"/>
        </w:rPr>
        <w:t xml:space="preserve">because Impossible Foods </w:t>
      </w:r>
      <w:r w:rsidR="000C299F">
        <w:rPr>
          <w:lang w:bidi="ar-SA"/>
        </w:rPr>
        <w:t xml:space="preserve">only </w:t>
      </w:r>
      <w:r>
        <w:rPr>
          <w:lang w:bidi="ar-SA"/>
        </w:rPr>
        <w:t xml:space="preserve">applied to permit soy leghemoglobin at levels of 0.45%. </w:t>
      </w:r>
      <w:r w:rsidR="000C299F">
        <w:rPr>
          <w:lang w:bidi="ar-SA"/>
        </w:rPr>
        <w:t>SFA representatives confirmed that the applicant would have to apply for a higher level, if required.</w:t>
      </w:r>
    </w:p>
    <w:p w14:paraId="226F9680" w14:textId="0CB1B39A" w:rsidR="00F679A6" w:rsidRDefault="000143DF" w:rsidP="00F679A6">
      <w:pPr>
        <w:pStyle w:val="Heading4"/>
        <w:keepNext w:val="0"/>
        <w:widowControl/>
      </w:pPr>
      <w:r>
        <w:t>1.3.2.5</w:t>
      </w:r>
      <w:r w:rsidR="00F679A6">
        <w:tab/>
        <w:t xml:space="preserve">Hong Kong and </w:t>
      </w:r>
      <w:r w:rsidR="00F43C1B">
        <w:t>Macau</w:t>
      </w:r>
    </w:p>
    <w:p w14:paraId="2DED7AE0" w14:textId="46B06944" w:rsidR="00F679A6" w:rsidRPr="00275118" w:rsidRDefault="00F679A6" w:rsidP="00F679A6">
      <w:pPr>
        <w:widowControl/>
        <w:rPr>
          <w:lang w:eastAsia="en-AU" w:bidi="ar-SA"/>
        </w:rPr>
      </w:pPr>
      <w:r>
        <w:rPr>
          <w:lang w:eastAsia="en-AU" w:bidi="ar-SA"/>
        </w:rPr>
        <w:t xml:space="preserve">The applicant indicated that soy leghemoglobin was respectively permitted in Hong Kong and </w:t>
      </w:r>
      <w:r w:rsidR="00F43C1B">
        <w:rPr>
          <w:lang w:eastAsia="en-AU" w:bidi="ar-SA"/>
        </w:rPr>
        <w:t xml:space="preserve">Macau </w:t>
      </w:r>
      <w:r w:rsidR="00A859EA">
        <w:rPr>
          <w:lang w:eastAsia="en-AU" w:bidi="ar-SA"/>
        </w:rPr>
        <w:t>following</w:t>
      </w:r>
      <w:r>
        <w:rPr>
          <w:lang w:eastAsia="en-AU" w:bidi="ar-SA"/>
        </w:rPr>
        <w:t xml:space="preserve"> approvals in the US and Singapore. The applicant provided information that</w:t>
      </w:r>
      <w:r w:rsidDel="00353150">
        <w:rPr>
          <w:lang w:eastAsia="en-AU" w:bidi="ar-SA"/>
        </w:rPr>
        <w:t xml:space="preserve"> </w:t>
      </w:r>
      <w:r>
        <w:rPr>
          <w:lang w:eastAsia="en-AU" w:bidi="ar-SA"/>
        </w:rPr>
        <w:t>no regulatory provisions apply specifically to GM foods in Hong Kong and such foods are not distinguished from non-GM foods. The applicant also indicated that the Hong Kong Centre for Food Safety takes into account whether or not a safety evaluation has been conducted by internat</w:t>
      </w:r>
      <w:r w:rsidR="004431B5">
        <w:rPr>
          <w:lang w:eastAsia="en-AU" w:bidi="ar-SA"/>
        </w:rPr>
        <w:t>ional food safety authorities.</w:t>
      </w:r>
    </w:p>
    <w:p w14:paraId="0A8FBD11" w14:textId="77777777" w:rsidR="00F679A6" w:rsidRDefault="00F679A6" w:rsidP="00F679A6">
      <w:pPr>
        <w:widowControl/>
        <w:rPr>
          <w:lang w:eastAsia="en-AU" w:bidi="ar-SA"/>
        </w:rPr>
      </w:pPr>
    </w:p>
    <w:p w14:paraId="4754F8E9" w14:textId="70B14D01" w:rsidR="00F679A6" w:rsidRDefault="00F679A6" w:rsidP="00F679A6">
      <w:pPr>
        <w:widowControl/>
        <w:rPr>
          <w:lang w:eastAsia="en-AU" w:bidi="ar-SA"/>
        </w:rPr>
      </w:pPr>
      <w:r>
        <w:rPr>
          <w:lang w:eastAsia="en-AU" w:bidi="ar-SA"/>
        </w:rPr>
        <w:t xml:space="preserve">The applicant highlighted that most international imports, other than those from China, are transhipped to </w:t>
      </w:r>
      <w:r w:rsidR="00F43C1B">
        <w:rPr>
          <w:lang w:eastAsia="en-AU" w:bidi="ar-SA"/>
        </w:rPr>
        <w:t xml:space="preserve">Macau </w:t>
      </w:r>
      <w:r>
        <w:rPr>
          <w:lang w:eastAsia="en-AU" w:bidi="ar-SA"/>
        </w:rPr>
        <w:t xml:space="preserve">via Hong Kong. Therefore food products that comply with Hong Kong’s food regulations can generally be marketed in </w:t>
      </w:r>
      <w:r w:rsidR="00F43C1B">
        <w:rPr>
          <w:lang w:eastAsia="en-AU" w:bidi="ar-SA"/>
        </w:rPr>
        <w:t>Macau</w:t>
      </w:r>
      <w:r>
        <w:rPr>
          <w:lang w:eastAsia="en-AU" w:bidi="ar-SA"/>
        </w:rPr>
        <w:t>.</w:t>
      </w:r>
    </w:p>
    <w:p w14:paraId="21DDE447" w14:textId="342A49AB" w:rsidR="00F679A6" w:rsidRDefault="000143DF" w:rsidP="00F679A6">
      <w:pPr>
        <w:pStyle w:val="Heading4"/>
        <w:keepNext w:val="0"/>
        <w:widowControl/>
        <w:rPr>
          <w:lang w:eastAsia="en-AU"/>
        </w:rPr>
      </w:pPr>
      <w:r>
        <w:rPr>
          <w:lang w:eastAsia="en-AU"/>
        </w:rPr>
        <w:t>1.3.2.6</w:t>
      </w:r>
      <w:r w:rsidR="00F679A6">
        <w:rPr>
          <w:lang w:eastAsia="en-AU"/>
        </w:rPr>
        <w:tab/>
        <w:t>European Union</w:t>
      </w:r>
    </w:p>
    <w:p w14:paraId="7EBC23F0" w14:textId="78280991" w:rsidR="00F679A6" w:rsidRDefault="00F679A6" w:rsidP="00F679A6">
      <w:pPr>
        <w:widowControl/>
        <w:rPr>
          <w:rFonts w:ascii="Calibri" w:hAnsi="Calibri"/>
          <w:szCs w:val="22"/>
          <w:lang w:bidi="ar-SA"/>
        </w:rPr>
      </w:pPr>
      <w:r>
        <w:rPr>
          <w:lang w:eastAsia="en-AU" w:bidi="ar-SA"/>
        </w:rPr>
        <w:t>Impossible Foods lodged a request in October 2019 to</w:t>
      </w:r>
      <w:r w:rsidRPr="005F4923">
        <w:rPr>
          <w:lang w:eastAsia="en-AU" w:bidi="ar-SA"/>
        </w:rPr>
        <w:t xml:space="preserve"> market </w:t>
      </w:r>
      <w:r>
        <w:rPr>
          <w:lang w:eastAsia="en-AU" w:bidi="ar-SA"/>
        </w:rPr>
        <w:t>s</w:t>
      </w:r>
      <w:r w:rsidRPr="005F4923">
        <w:rPr>
          <w:lang w:eastAsia="en-AU" w:bidi="ar-SA"/>
        </w:rPr>
        <w:t xml:space="preserve">oy </w:t>
      </w:r>
      <w:r>
        <w:rPr>
          <w:lang w:eastAsia="en-AU" w:bidi="ar-SA"/>
        </w:rPr>
        <w:t>l</w:t>
      </w:r>
      <w:r w:rsidRPr="005F4923">
        <w:rPr>
          <w:lang w:eastAsia="en-AU" w:bidi="ar-SA"/>
        </w:rPr>
        <w:t xml:space="preserve">eghemoglobin produced from genetically modified </w:t>
      </w:r>
      <w:r w:rsidRPr="005F4923">
        <w:rPr>
          <w:i/>
          <w:lang w:eastAsia="en-AU" w:bidi="ar-SA"/>
        </w:rPr>
        <w:t>Pichia pastoris</w:t>
      </w:r>
      <w:r w:rsidRPr="005F4923">
        <w:rPr>
          <w:lang w:eastAsia="en-AU" w:bidi="ar-SA"/>
        </w:rPr>
        <w:t xml:space="preserve"> </w:t>
      </w:r>
      <w:r>
        <w:rPr>
          <w:lang w:eastAsia="en-AU" w:bidi="ar-SA"/>
        </w:rPr>
        <w:t>with the European Food Safety Authority (EFSA)</w:t>
      </w:r>
      <w:r>
        <w:rPr>
          <w:rStyle w:val="FootnoteReference"/>
          <w:lang w:eastAsia="en-AU" w:bidi="ar-SA"/>
        </w:rPr>
        <w:footnoteReference w:id="11"/>
      </w:r>
      <w:r>
        <w:rPr>
          <w:lang w:eastAsia="en-AU" w:bidi="ar-SA"/>
        </w:rPr>
        <w:t xml:space="preserve"> (Requestor member state – The Netherlands). At the time of writing, this application is currently under consideration as a GM</w:t>
      </w:r>
      <w:r w:rsidR="00696A14">
        <w:rPr>
          <w:lang w:eastAsia="en-AU" w:bidi="ar-SA"/>
        </w:rPr>
        <w:t xml:space="preserve"> food under</w:t>
      </w:r>
      <w:r w:rsidR="00BF635C">
        <w:rPr>
          <w:lang w:eastAsia="en-AU" w:bidi="ar-SA"/>
        </w:rPr>
        <w:t xml:space="preserve"> </w:t>
      </w:r>
      <w:r w:rsidRPr="00C97A93">
        <w:rPr>
          <w:lang w:eastAsia="en-AU" w:bidi="ar-SA"/>
        </w:rPr>
        <w:t>Reg</w:t>
      </w:r>
      <w:r w:rsidR="00696A14">
        <w:rPr>
          <w:lang w:eastAsia="en-AU" w:bidi="ar-SA"/>
        </w:rPr>
        <w:t>ulation (EC)</w:t>
      </w:r>
      <w:r w:rsidRPr="00C97A93">
        <w:rPr>
          <w:lang w:eastAsia="en-AU" w:bidi="ar-SA"/>
        </w:rPr>
        <w:t xml:space="preserve"> 1829/2003</w:t>
      </w:r>
      <w:r>
        <w:rPr>
          <w:lang w:eastAsia="en-AU" w:bidi="ar-SA"/>
        </w:rPr>
        <w:t>.</w:t>
      </w:r>
    </w:p>
    <w:p w14:paraId="7E1AF3B4" w14:textId="4F3EF1E4" w:rsidR="00AF387F" w:rsidRPr="000B6AF2" w:rsidRDefault="00F33BB8" w:rsidP="00D062E4">
      <w:pPr>
        <w:pStyle w:val="Heading2"/>
        <w:rPr>
          <w:u w:color="FFFF00"/>
        </w:rPr>
      </w:pPr>
      <w:bookmarkStart w:id="43" w:name="_Toc41576648"/>
      <w:bookmarkStart w:id="44" w:name="_Toc42875211"/>
      <w:bookmarkStart w:id="45" w:name="_Toc43128116"/>
      <w:r>
        <w:rPr>
          <w:u w:color="FFFF00"/>
        </w:rPr>
        <w:t>1</w:t>
      </w:r>
      <w:r w:rsidR="00606C88">
        <w:rPr>
          <w:u w:color="FFFF00"/>
        </w:rPr>
        <w:t>.4</w:t>
      </w:r>
      <w:r w:rsidR="001542D8">
        <w:rPr>
          <w:u w:color="FFFF00"/>
        </w:rPr>
        <w:tab/>
      </w:r>
      <w:r w:rsidR="00741EFE" w:rsidRPr="00746C74">
        <w:rPr>
          <w:u w:color="FFFF00"/>
        </w:rPr>
        <w:t>Reasons for accepting A</w:t>
      </w:r>
      <w:r w:rsidR="00AF387F" w:rsidRPr="00746C74">
        <w:rPr>
          <w:u w:color="FFFF00"/>
        </w:rPr>
        <w:t>pplication</w:t>
      </w:r>
      <w:bookmarkEnd w:id="35"/>
      <w:bookmarkEnd w:id="36"/>
      <w:bookmarkEnd w:id="43"/>
      <w:bookmarkEnd w:id="44"/>
      <w:bookmarkEnd w:id="45"/>
    </w:p>
    <w:p w14:paraId="683F009E" w14:textId="77777777" w:rsidR="00503372" w:rsidRPr="000A26D4" w:rsidRDefault="00503372" w:rsidP="00503372">
      <w:pPr>
        <w:widowControl/>
      </w:pPr>
      <w:bookmarkStart w:id="46" w:name="_Toc286391008"/>
      <w:bookmarkStart w:id="47" w:name="_Toc11735630"/>
      <w:bookmarkStart w:id="48" w:name="_Toc29883114"/>
      <w:bookmarkStart w:id="49" w:name="_Toc41906801"/>
      <w:bookmarkStart w:id="50" w:name="_Toc41907548"/>
      <w:bookmarkStart w:id="51" w:name="_Toc120358578"/>
      <w:bookmarkStart w:id="52" w:name="_Toc175381435"/>
      <w:bookmarkEnd w:id="5"/>
      <w:bookmarkEnd w:id="6"/>
      <w:bookmarkEnd w:id="7"/>
      <w:bookmarkEnd w:id="8"/>
      <w:bookmarkEnd w:id="9"/>
      <w:bookmarkEnd w:id="37"/>
      <w:r w:rsidRPr="000A26D4">
        <w:t>The Application was accepted for assessment because:</w:t>
      </w:r>
    </w:p>
    <w:p w14:paraId="54078EF4" w14:textId="77777777" w:rsidR="00503372" w:rsidRPr="000A26D4" w:rsidRDefault="00503372" w:rsidP="00503372">
      <w:pPr>
        <w:widowControl/>
      </w:pPr>
    </w:p>
    <w:p w14:paraId="41041383" w14:textId="77777777" w:rsidR="00503372" w:rsidRPr="000A26D4" w:rsidRDefault="00503372" w:rsidP="009B3571">
      <w:pPr>
        <w:pStyle w:val="ListParagraph"/>
        <w:widowControl/>
        <w:numPr>
          <w:ilvl w:val="0"/>
          <w:numId w:val="4"/>
        </w:numPr>
      </w:pPr>
      <w:r w:rsidRPr="000A26D4">
        <w:t>it complied with the procedural requirements under subsection 22(2)</w:t>
      </w:r>
    </w:p>
    <w:p w14:paraId="6FE50E8D" w14:textId="248CD432" w:rsidR="00846350" w:rsidRDefault="00503372" w:rsidP="009B3571">
      <w:pPr>
        <w:pStyle w:val="ListParagraph"/>
        <w:widowControl/>
        <w:numPr>
          <w:ilvl w:val="0"/>
          <w:numId w:val="4"/>
        </w:numPr>
      </w:pPr>
      <w:r w:rsidRPr="000A26D4">
        <w:t>it related to a matter that warranted the variation of a food regulatory measure</w:t>
      </w:r>
      <w:r>
        <w:t>.</w:t>
      </w:r>
    </w:p>
    <w:p w14:paraId="416C2225" w14:textId="18BE7B7D" w:rsidR="00DE79D9" w:rsidRDefault="00D3171B" w:rsidP="00DE79D9">
      <w:pPr>
        <w:pStyle w:val="Heading2"/>
      </w:pPr>
      <w:bookmarkStart w:id="53" w:name="_Toc41576649"/>
      <w:bookmarkStart w:id="54" w:name="_Toc42875212"/>
      <w:bookmarkStart w:id="55" w:name="_Toc43128117"/>
      <w:r>
        <w:lastRenderedPageBreak/>
        <w:t>1</w:t>
      </w:r>
      <w:r w:rsidR="00606C88">
        <w:t>.5</w:t>
      </w:r>
      <w:r w:rsidR="00DE79D9">
        <w:tab/>
        <w:t>Procedure for assessment</w:t>
      </w:r>
      <w:bookmarkEnd w:id="53"/>
      <w:bookmarkEnd w:id="54"/>
      <w:bookmarkEnd w:id="55"/>
    </w:p>
    <w:p w14:paraId="25D0F44F" w14:textId="7D8C09B4" w:rsidR="00050BA7" w:rsidRDefault="00C14CBA" w:rsidP="00176C4C">
      <w:pPr>
        <w:widowControl/>
        <w:spacing w:after="240"/>
      </w:pPr>
      <w:r w:rsidRPr="000A26D4">
        <w:t xml:space="preserve">The Application is being assessed under </w:t>
      </w:r>
      <w:r>
        <w:t>a</w:t>
      </w:r>
      <w:r w:rsidRPr="000A26D4">
        <w:t xml:space="preserve"> Major Procedure.</w:t>
      </w:r>
      <w:bookmarkStart w:id="56" w:name="_Toc300933424"/>
    </w:p>
    <w:p w14:paraId="390BE92F" w14:textId="60047387" w:rsidR="00AF387F" w:rsidRPr="00180C41" w:rsidRDefault="00D3171B" w:rsidP="00F76C03">
      <w:pPr>
        <w:pStyle w:val="Heading1"/>
      </w:pPr>
      <w:bookmarkStart w:id="57" w:name="_Toc41576650"/>
      <w:bookmarkStart w:id="58" w:name="_Toc42875213"/>
      <w:bookmarkStart w:id="59" w:name="_Toc43128118"/>
      <w:r>
        <w:t>2</w:t>
      </w:r>
      <w:r w:rsidR="001542D8">
        <w:tab/>
      </w:r>
      <w:r w:rsidR="00350DBD">
        <w:t>S</w:t>
      </w:r>
      <w:r w:rsidR="00FB1533">
        <w:t>ummary of the a</w:t>
      </w:r>
      <w:r w:rsidR="00FD2FBE">
        <w:t>ssessment</w:t>
      </w:r>
      <w:bookmarkEnd w:id="46"/>
      <w:bookmarkEnd w:id="56"/>
      <w:bookmarkEnd w:id="57"/>
      <w:bookmarkEnd w:id="58"/>
      <w:bookmarkEnd w:id="59"/>
    </w:p>
    <w:p w14:paraId="18FD8CD7" w14:textId="0A0378C8" w:rsidR="00F33BB8" w:rsidRPr="00823523" w:rsidRDefault="00D3171B" w:rsidP="0072150F">
      <w:pPr>
        <w:pStyle w:val="Heading2"/>
      </w:pPr>
      <w:bookmarkStart w:id="60" w:name="_Toc300933438"/>
      <w:bookmarkStart w:id="61" w:name="_Toc41576651"/>
      <w:bookmarkStart w:id="62" w:name="_Toc42875214"/>
      <w:bookmarkStart w:id="63" w:name="_Toc43128119"/>
      <w:bookmarkStart w:id="64" w:name="_Toc286391009"/>
      <w:bookmarkStart w:id="65" w:name="_Toc300933425"/>
      <w:bookmarkStart w:id="66" w:name="_Toc120358583"/>
      <w:bookmarkStart w:id="67" w:name="_Toc175381440"/>
      <w:r w:rsidRPr="00823523">
        <w:t>2</w:t>
      </w:r>
      <w:r w:rsidR="00F33BB8" w:rsidRPr="00823523">
        <w:t>.1</w:t>
      </w:r>
      <w:r w:rsidR="00F33BB8" w:rsidRPr="00823523">
        <w:tab/>
        <w:t xml:space="preserve">Summary of issues raised </w:t>
      </w:r>
      <w:bookmarkEnd w:id="60"/>
      <w:r w:rsidR="00F33BB8" w:rsidRPr="00823523">
        <w:t>in submissions</w:t>
      </w:r>
      <w:bookmarkEnd w:id="61"/>
      <w:bookmarkEnd w:id="62"/>
      <w:bookmarkEnd w:id="63"/>
    </w:p>
    <w:p w14:paraId="534744CC" w14:textId="4A474568" w:rsidR="006D5BB3" w:rsidRDefault="006D5BB3" w:rsidP="00823523">
      <w:pPr>
        <w:spacing w:after="240"/>
        <w:rPr>
          <w:lang w:bidi="ar-SA"/>
        </w:rPr>
      </w:pPr>
      <w:r>
        <w:rPr>
          <w:lang w:bidi="ar-SA"/>
        </w:rPr>
        <w:t>At the 1</w:t>
      </w:r>
      <w:r w:rsidRPr="00F500DC">
        <w:rPr>
          <w:vertAlign w:val="superscript"/>
          <w:lang w:bidi="ar-SA"/>
        </w:rPr>
        <w:t>st</w:t>
      </w:r>
      <w:r>
        <w:rPr>
          <w:lang w:bidi="ar-SA"/>
        </w:rPr>
        <w:t xml:space="preserve"> </w:t>
      </w:r>
      <w:r w:rsidR="00AD33FC">
        <w:rPr>
          <w:lang w:bidi="ar-SA"/>
        </w:rPr>
        <w:t>CFS</w:t>
      </w:r>
      <w:r>
        <w:rPr>
          <w:lang w:bidi="ar-SA"/>
        </w:rPr>
        <w:t xml:space="preserve">, </w:t>
      </w:r>
      <w:r w:rsidR="00981F0E">
        <w:rPr>
          <w:lang w:bidi="ar-SA"/>
        </w:rPr>
        <w:t xml:space="preserve">FSANZ received </w:t>
      </w:r>
      <w:r w:rsidR="00F500DC">
        <w:rPr>
          <w:lang w:bidi="ar-SA"/>
        </w:rPr>
        <w:t>a total of 44 submissions</w:t>
      </w:r>
      <w:r w:rsidR="00F500DC" w:rsidDel="00FA793D">
        <w:rPr>
          <w:lang w:bidi="ar-SA"/>
        </w:rPr>
        <w:t xml:space="preserve"> </w:t>
      </w:r>
      <w:r w:rsidR="00FA793D">
        <w:rPr>
          <w:lang w:bidi="ar-SA"/>
        </w:rPr>
        <w:t xml:space="preserve">from </w:t>
      </w:r>
      <w:r w:rsidR="00033230">
        <w:rPr>
          <w:lang w:bidi="ar-SA"/>
        </w:rPr>
        <w:t xml:space="preserve">six </w:t>
      </w:r>
      <w:r>
        <w:rPr>
          <w:lang w:bidi="ar-SA"/>
        </w:rPr>
        <w:t>key submitter groups</w:t>
      </w:r>
      <w:r w:rsidR="000F22E9">
        <w:rPr>
          <w:lang w:bidi="ar-SA"/>
        </w:rPr>
        <w:t xml:space="preserve"> (see </w:t>
      </w:r>
      <w:r w:rsidR="009C0D8B">
        <w:rPr>
          <w:lang w:bidi="ar-SA"/>
        </w:rPr>
        <w:t>Attachment</w:t>
      </w:r>
      <w:r w:rsidR="000F22E9">
        <w:rPr>
          <w:lang w:bidi="ar-SA"/>
        </w:rPr>
        <w:t xml:space="preserve"> </w:t>
      </w:r>
      <w:r w:rsidR="007C26E4">
        <w:rPr>
          <w:lang w:bidi="ar-SA"/>
        </w:rPr>
        <w:t xml:space="preserve">D </w:t>
      </w:r>
      <w:r w:rsidR="000F22E9">
        <w:rPr>
          <w:lang w:bidi="ar-SA"/>
        </w:rPr>
        <w:t>for</w:t>
      </w:r>
      <w:r w:rsidR="00A07EFC">
        <w:rPr>
          <w:lang w:bidi="ar-SA"/>
        </w:rPr>
        <w:t xml:space="preserve"> a</w:t>
      </w:r>
      <w:r w:rsidR="000F22E9">
        <w:rPr>
          <w:lang w:bidi="ar-SA"/>
        </w:rPr>
        <w:t xml:space="preserve"> full list of submitters)</w:t>
      </w:r>
      <w:r>
        <w:rPr>
          <w:lang w:bidi="ar-SA"/>
        </w:rPr>
        <w:t>:</w:t>
      </w:r>
    </w:p>
    <w:p w14:paraId="407D363C" w14:textId="380E2584" w:rsidR="000F22E9" w:rsidRDefault="0064459E" w:rsidP="009B3571">
      <w:pPr>
        <w:pStyle w:val="ListParagraph"/>
        <w:numPr>
          <w:ilvl w:val="0"/>
          <w:numId w:val="13"/>
        </w:numPr>
        <w:spacing w:line="276" w:lineRule="auto"/>
        <w:rPr>
          <w:lang w:bidi="ar-SA"/>
        </w:rPr>
      </w:pPr>
      <w:r>
        <w:rPr>
          <w:lang w:bidi="ar-SA"/>
        </w:rPr>
        <w:t>State government</w:t>
      </w:r>
      <w:r w:rsidR="006D5BB3">
        <w:rPr>
          <w:lang w:bidi="ar-SA"/>
        </w:rPr>
        <w:t xml:space="preserve"> (5)</w:t>
      </w:r>
    </w:p>
    <w:p w14:paraId="2EC56855" w14:textId="4DA6209F" w:rsidR="006D5BB3" w:rsidRDefault="006D5BB3" w:rsidP="009B3571">
      <w:pPr>
        <w:pStyle w:val="ListParagraph"/>
        <w:numPr>
          <w:ilvl w:val="0"/>
          <w:numId w:val="13"/>
        </w:numPr>
        <w:spacing w:line="276" w:lineRule="auto"/>
        <w:rPr>
          <w:lang w:bidi="ar-SA"/>
        </w:rPr>
      </w:pPr>
      <w:r>
        <w:rPr>
          <w:lang w:bidi="ar-SA"/>
        </w:rPr>
        <w:t>Industry (</w:t>
      </w:r>
      <w:r w:rsidR="0064459E">
        <w:rPr>
          <w:lang w:bidi="ar-SA"/>
        </w:rPr>
        <w:t>6</w:t>
      </w:r>
      <w:r>
        <w:rPr>
          <w:lang w:bidi="ar-SA"/>
        </w:rPr>
        <w:t>)</w:t>
      </w:r>
    </w:p>
    <w:p w14:paraId="52EAA6B1" w14:textId="41FE1807" w:rsidR="006D5BB3" w:rsidRDefault="0064459E" w:rsidP="009B3571">
      <w:pPr>
        <w:pStyle w:val="ListParagraph"/>
        <w:numPr>
          <w:ilvl w:val="0"/>
          <w:numId w:val="13"/>
        </w:numPr>
        <w:spacing w:line="276" w:lineRule="auto"/>
        <w:rPr>
          <w:lang w:bidi="ar-SA"/>
        </w:rPr>
      </w:pPr>
      <w:r>
        <w:rPr>
          <w:lang w:bidi="ar-SA"/>
        </w:rPr>
        <w:t>Not for profit organisations</w:t>
      </w:r>
      <w:r w:rsidR="006D5BB3">
        <w:rPr>
          <w:lang w:bidi="ar-SA"/>
        </w:rPr>
        <w:t xml:space="preserve"> (</w:t>
      </w:r>
      <w:r>
        <w:rPr>
          <w:lang w:bidi="ar-SA"/>
        </w:rPr>
        <w:t>4</w:t>
      </w:r>
      <w:r w:rsidR="006D5BB3">
        <w:rPr>
          <w:lang w:bidi="ar-SA"/>
        </w:rPr>
        <w:t>)</w:t>
      </w:r>
    </w:p>
    <w:p w14:paraId="4BECA5F3" w14:textId="224D44AF" w:rsidR="0064459E" w:rsidRDefault="0064459E" w:rsidP="009B3571">
      <w:pPr>
        <w:pStyle w:val="ListParagraph"/>
        <w:numPr>
          <w:ilvl w:val="0"/>
          <w:numId w:val="13"/>
        </w:numPr>
        <w:spacing w:line="276" w:lineRule="auto"/>
        <w:rPr>
          <w:lang w:bidi="ar-SA"/>
        </w:rPr>
      </w:pPr>
      <w:r>
        <w:rPr>
          <w:lang w:bidi="ar-SA"/>
        </w:rPr>
        <w:t>Primary production organisations (3)</w:t>
      </w:r>
    </w:p>
    <w:p w14:paraId="7F06A75E" w14:textId="13D65B4C" w:rsidR="0064459E" w:rsidRDefault="0064459E" w:rsidP="009B3571">
      <w:pPr>
        <w:pStyle w:val="ListParagraph"/>
        <w:numPr>
          <w:ilvl w:val="0"/>
          <w:numId w:val="13"/>
        </w:numPr>
        <w:spacing w:line="276" w:lineRule="auto"/>
        <w:rPr>
          <w:lang w:bidi="ar-SA"/>
        </w:rPr>
      </w:pPr>
      <w:r>
        <w:rPr>
          <w:lang w:bidi="ar-SA"/>
        </w:rPr>
        <w:t>Consumer organisations (</w:t>
      </w:r>
      <w:r w:rsidR="00A07EFC">
        <w:rPr>
          <w:lang w:bidi="ar-SA"/>
        </w:rPr>
        <w:t>10</w:t>
      </w:r>
      <w:r>
        <w:rPr>
          <w:lang w:bidi="ar-SA"/>
        </w:rPr>
        <w:t>)</w:t>
      </w:r>
    </w:p>
    <w:p w14:paraId="1377C798" w14:textId="0C6A9A4E" w:rsidR="006D5BB3" w:rsidRDefault="0064459E" w:rsidP="009B3571">
      <w:pPr>
        <w:pStyle w:val="ListParagraph"/>
        <w:numPr>
          <w:ilvl w:val="0"/>
          <w:numId w:val="13"/>
        </w:numPr>
        <w:spacing w:line="276" w:lineRule="auto"/>
        <w:rPr>
          <w:lang w:bidi="ar-SA"/>
        </w:rPr>
      </w:pPr>
      <w:r>
        <w:rPr>
          <w:lang w:bidi="ar-SA"/>
        </w:rPr>
        <w:t>Individual submitters</w:t>
      </w:r>
      <w:r w:rsidR="006D5BB3">
        <w:rPr>
          <w:lang w:bidi="ar-SA"/>
        </w:rPr>
        <w:t xml:space="preserve"> (1</w:t>
      </w:r>
      <w:r w:rsidR="00A07EFC">
        <w:rPr>
          <w:lang w:bidi="ar-SA"/>
        </w:rPr>
        <w:t>6</w:t>
      </w:r>
      <w:r w:rsidR="006D5BB3">
        <w:rPr>
          <w:lang w:bidi="ar-SA"/>
        </w:rPr>
        <w:t>)</w:t>
      </w:r>
    </w:p>
    <w:p w14:paraId="412E0FF7" w14:textId="3A0C9698" w:rsidR="00E40EA6" w:rsidRDefault="00E40EA6" w:rsidP="00981F0E">
      <w:pPr>
        <w:rPr>
          <w:lang w:bidi="ar-SA"/>
        </w:rPr>
      </w:pPr>
    </w:p>
    <w:p w14:paraId="74C19CEE" w14:textId="51B09C65" w:rsidR="005949D8" w:rsidRDefault="00506745" w:rsidP="00981F0E">
      <w:pPr>
        <w:rPr>
          <w:lang w:bidi="ar-SA"/>
        </w:rPr>
      </w:pPr>
      <w:r>
        <w:rPr>
          <w:lang w:bidi="ar-SA"/>
        </w:rPr>
        <w:t xml:space="preserve">These submissions have been published on the </w:t>
      </w:r>
      <w:hyperlink r:id="rId23" w:history="1">
        <w:r w:rsidRPr="00A4667A">
          <w:rPr>
            <w:rStyle w:val="Hyperlink"/>
            <w:lang w:bidi="ar-SA"/>
          </w:rPr>
          <w:t>A1186 webpage</w:t>
        </w:r>
      </w:hyperlink>
      <w:r>
        <w:rPr>
          <w:lang w:bidi="ar-SA"/>
        </w:rPr>
        <w:t>. Across the different submitter groups, FSANZ noted</w:t>
      </w:r>
      <w:r w:rsidR="00E40EA6">
        <w:rPr>
          <w:lang w:bidi="ar-SA"/>
        </w:rPr>
        <w:t xml:space="preserve"> mixed </w:t>
      </w:r>
      <w:r>
        <w:rPr>
          <w:lang w:bidi="ar-SA"/>
        </w:rPr>
        <w:t>support for the application and FSANZ’s safety and risk assessment.</w:t>
      </w:r>
    </w:p>
    <w:p w14:paraId="630762F3" w14:textId="77777777" w:rsidR="00055564" w:rsidRDefault="00055564" w:rsidP="005949D8">
      <w:pPr>
        <w:rPr>
          <w:lang w:bidi="ar-SA"/>
        </w:rPr>
      </w:pPr>
    </w:p>
    <w:p w14:paraId="41EB0ADF" w14:textId="50FBD020" w:rsidR="00092875" w:rsidRDefault="00092875" w:rsidP="00823523">
      <w:pPr>
        <w:spacing w:after="240"/>
        <w:rPr>
          <w:lang w:bidi="ar-SA"/>
        </w:rPr>
      </w:pPr>
      <w:r>
        <w:rPr>
          <w:lang w:bidi="ar-SA"/>
        </w:rPr>
        <w:t>S</w:t>
      </w:r>
      <w:r w:rsidR="005949D8">
        <w:rPr>
          <w:lang w:bidi="ar-SA"/>
        </w:rPr>
        <w:t>upport</w:t>
      </w:r>
      <w:r>
        <w:rPr>
          <w:lang w:bidi="ar-SA"/>
        </w:rPr>
        <w:t xml:space="preserve">ing submissions </w:t>
      </w:r>
      <w:r w:rsidR="00265939">
        <w:rPr>
          <w:lang w:bidi="ar-SA"/>
        </w:rPr>
        <w:t>general</w:t>
      </w:r>
      <w:r w:rsidR="00C3049F">
        <w:rPr>
          <w:lang w:bidi="ar-SA"/>
        </w:rPr>
        <w:t>ly</w:t>
      </w:r>
      <w:r w:rsidR="00265939">
        <w:rPr>
          <w:lang w:bidi="ar-SA"/>
        </w:rPr>
        <w:t xml:space="preserve"> provided</w:t>
      </w:r>
      <w:r>
        <w:rPr>
          <w:lang w:bidi="ar-SA"/>
        </w:rPr>
        <w:t xml:space="preserve"> the following </w:t>
      </w:r>
      <w:r w:rsidR="00265939">
        <w:rPr>
          <w:lang w:bidi="ar-SA"/>
        </w:rPr>
        <w:t>rationale</w:t>
      </w:r>
      <w:r>
        <w:rPr>
          <w:lang w:bidi="ar-SA"/>
        </w:rPr>
        <w:t>:</w:t>
      </w:r>
    </w:p>
    <w:p w14:paraId="7EA2F59A" w14:textId="261B928F" w:rsidR="00092875" w:rsidRDefault="00E1362C" w:rsidP="009B3571">
      <w:pPr>
        <w:pStyle w:val="ListParagraph"/>
        <w:numPr>
          <w:ilvl w:val="0"/>
          <w:numId w:val="14"/>
        </w:numPr>
        <w:spacing w:line="276" w:lineRule="auto"/>
        <w:rPr>
          <w:lang w:bidi="ar-SA"/>
        </w:rPr>
      </w:pPr>
      <w:r>
        <w:rPr>
          <w:lang w:bidi="ar-SA"/>
        </w:rPr>
        <w:t>Impossible</w:t>
      </w:r>
      <w:r w:rsidR="00092875">
        <w:rPr>
          <w:lang w:bidi="ar-SA"/>
        </w:rPr>
        <w:t xml:space="preserve"> meat analogue products may provide </w:t>
      </w:r>
      <w:r w:rsidR="005949D8">
        <w:rPr>
          <w:lang w:bidi="ar-SA"/>
        </w:rPr>
        <w:t>a sust</w:t>
      </w:r>
      <w:r w:rsidR="00092875">
        <w:rPr>
          <w:lang w:bidi="ar-SA"/>
        </w:rPr>
        <w:t xml:space="preserve">ainable alternative </w:t>
      </w:r>
      <w:r w:rsidR="000C299F">
        <w:rPr>
          <w:lang w:bidi="ar-SA"/>
        </w:rPr>
        <w:t xml:space="preserve">option </w:t>
      </w:r>
      <w:r w:rsidR="00092875">
        <w:rPr>
          <w:lang w:bidi="ar-SA"/>
        </w:rPr>
        <w:t>to meat</w:t>
      </w:r>
      <w:r w:rsidR="000C299F">
        <w:rPr>
          <w:lang w:bidi="ar-SA"/>
        </w:rPr>
        <w:t xml:space="preserve"> products</w:t>
      </w:r>
      <w:r w:rsidR="00C919EC">
        <w:rPr>
          <w:lang w:bidi="ar-SA"/>
        </w:rPr>
        <w:t>.</w:t>
      </w:r>
    </w:p>
    <w:p w14:paraId="550EE41B" w14:textId="34155321" w:rsidR="00092875" w:rsidRDefault="00265939" w:rsidP="009B3571">
      <w:pPr>
        <w:pStyle w:val="ListParagraph"/>
        <w:numPr>
          <w:ilvl w:val="0"/>
          <w:numId w:val="14"/>
        </w:numPr>
        <w:spacing w:line="276" w:lineRule="auto"/>
        <w:rPr>
          <w:lang w:bidi="ar-SA"/>
        </w:rPr>
      </w:pPr>
      <w:r>
        <w:rPr>
          <w:lang w:bidi="ar-SA"/>
        </w:rPr>
        <w:t>Permitting soy leghemoglobin promotes g</w:t>
      </w:r>
      <w:r w:rsidR="00092875">
        <w:rPr>
          <w:lang w:bidi="ar-SA"/>
        </w:rPr>
        <w:t>reat</w:t>
      </w:r>
      <w:r>
        <w:rPr>
          <w:lang w:bidi="ar-SA"/>
        </w:rPr>
        <w:t>er</w:t>
      </w:r>
      <w:r w:rsidR="00092875">
        <w:rPr>
          <w:lang w:bidi="ar-SA"/>
        </w:rPr>
        <w:t xml:space="preserve"> c</w:t>
      </w:r>
      <w:r w:rsidR="005949D8">
        <w:rPr>
          <w:lang w:bidi="ar-SA"/>
        </w:rPr>
        <w:t xml:space="preserve">hoice for </w:t>
      </w:r>
      <w:r w:rsidR="00092875">
        <w:rPr>
          <w:lang w:bidi="ar-SA"/>
        </w:rPr>
        <w:t>consumers</w:t>
      </w:r>
      <w:r w:rsidR="005949D8">
        <w:rPr>
          <w:lang w:bidi="ar-SA"/>
        </w:rPr>
        <w:t xml:space="preserve"> wishi</w:t>
      </w:r>
      <w:r w:rsidR="00092875">
        <w:rPr>
          <w:lang w:bidi="ar-SA"/>
        </w:rPr>
        <w:t>ng to reduce their meat intake</w:t>
      </w:r>
      <w:r w:rsidR="00C919EC">
        <w:rPr>
          <w:lang w:bidi="ar-SA"/>
        </w:rPr>
        <w:t>.</w:t>
      </w:r>
    </w:p>
    <w:p w14:paraId="27DA893D" w14:textId="1B60A9FE" w:rsidR="00092875" w:rsidRDefault="00265939" w:rsidP="009B3571">
      <w:pPr>
        <w:pStyle w:val="ListParagraph"/>
        <w:numPr>
          <w:ilvl w:val="0"/>
          <w:numId w:val="14"/>
        </w:numPr>
        <w:spacing w:line="276" w:lineRule="auto"/>
        <w:rPr>
          <w:lang w:bidi="ar-SA"/>
        </w:rPr>
      </w:pPr>
      <w:r>
        <w:rPr>
          <w:lang w:bidi="ar-SA"/>
        </w:rPr>
        <w:t xml:space="preserve">The FSANZ </w:t>
      </w:r>
      <w:r w:rsidR="00535F9A">
        <w:rPr>
          <w:lang w:bidi="ar-SA"/>
        </w:rPr>
        <w:t>risk</w:t>
      </w:r>
      <w:r>
        <w:rPr>
          <w:lang w:bidi="ar-SA"/>
        </w:rPr>
        <w:t xml:space="preserve"> and technical assessment is supported by appropriate data and information to </w:t>
      </w:r>
      <w:bookmarkStart w:id="68" w:name="_GoBack"/>
      <w:bookmarkEnd w:id="68"/>
      <w:r>
        <w:rPr>
          <w:lang w:bidi="ar-SA"/>
        </w:rPr>
        <w:t xml:space="preserve">justify the </w:t>
      </w:r>
      <w:r w:rsidR="005949D8">
        <w:rPr>
          <w:lang w:bidi="ar-SA"/>
        </w:rPr>
        <w:t>safe</w:t>
      </w:r>
      <w:r>
        <w:rPr>
          <w:lang w:bidi="ar-SA"/>
        </w:rPr>
        <w:t>ty of soy leghemoglobin in the form of LegH Prep</w:t>
      </w:r>
      <w:r w:rsidR="00C919EC">
        <w:rPr>
          <w:lang w:bidi="ar-SA"/>
        </w:rPr>
        <w:t>.</w:t>
      </w:r>
    </w:p>
    <w:p w14:paraId="10991175" w14:textId="68ECABB2" w:rsidR="00092875" w:rsidRDefault="00092875" w:rsidP="009B3571">
      <w:pPr>
        <w:pStyle w:val="ListParagraph"/>
        <w:numPr>
          <w:ilvl w:val="0"/>
          <w:numId w:val="14"/>
        </w:numPr>
        <w:spacing w:line="276" w:lineRule="auto"/>
        <w:rPr>
          <w:lang w:bidi="ar-SA"/>
        </w:rPr>
      </w:pPr>
      <w:r>
        <w:rPr>
          <w:lang w:bidi="ar-SA"/>
        </w:rPr>
        <w:t>Soy leghemoglobin p</w:t>
      </w:r>
      <w:r w:rsidR="005949D8">
        <w:rPr>
          <w:lang w:bidi="ar-SA"/>
        </w:rPr>
        <w:t>rovide</w:t>
      </w:r>
      <w:r w:rsidR="00387587">
        <w:rPr>
          <w:lang w:bidi="ar-SA"/>
        </w:rPr>
        <w:t>s</w:t>
      </w:r>
      <w:r w:rsidR="005949D8">
        <w:rPr>
          <w:lang w:bidi="ar-SA"/>
        </w:rPr>
        <w:t xml:space="preserve"> a bioavailable source of </w:t>
      </w:r>
      <w:r w:rsidR="00265939">
        <w:rPr>
          <w:lang w:bidi="ar-SA"/>
        </w:rPr>
        <w:t xml:space="preserve">haem </w:t>
      </w:r>
      <w:r w:rsidR="005949D8">
        <w:rPr>
          <w:lang w:bidi="ar-SA"/>
        </w:rPr>
        <w:t xml:space="preserve">iron </w:t>
      </w:r>
      <w:r w:rsidR="007C26E4">
        <w:rPr>
          <w:lang w:bidi="ar-SA"/>
        </w:rPr>
        <w:t xml:space="preserve">in meat analogue products </w:t>
      </w:r>
      <w:r>
        <w:rPr>
          <w:lang w:bidi="ar-SA"/>
        </w:rPr>
        <w:t>(currently only non-haem iron is permitted in the Code</w:t>
      </w:r>
      <w:r w:rsidR="007C26E4">
        <w:rPr>
          <w:lang w:bidi="ar-SA"/>
        </w:rPr>
        <w:t xml:space="preserve"> where iron addition is permitted more generally</w:t>
      </w:r>
      <w:r>
        <w:rPr>
          <w:lang w:bidi="ar-SA"/>
        </w:rPr>
        <w:t>)</w:t>
      </w:r>
      <w:r w:rsidR="00C919EC">
        <w:rPr>
          <w:lang w:bidi="ar-SA"/>
        </w:rPr>
        <w:t>.</w:t>
      </w:r>
    </w:p>
    <w:p w14:paraId="3F39C831" w14:textId="4EAAE013" w:rsidR="005949D8" w:rsidRDefault="00092875" w:rsidP="009B3571">
      <w:pPr>
        <w:pStyle w:val="ListParagraph"/>
        <w:numPr>
          <w:ilvl w:val="0"/>
          <w:numId w:val="14"/>
        </w:numPr>
        <w:spacing w:line="276" w:lineRule="auto"/>
        <w:rPr>
          <w:lang w:bidi="ar-SA"/>
        </w:rPr>
      </w:pPr>
      <w:r>
        <w:rPr>
          <w:lang w:bidi="ar-SA"/>
        </w:rPr>
        <w:t>FSANZ’s proposed permission</w:t>
      </w:r>
      <w:r w:rsidR="005949D8">
        <w:rPr>
          <w:lang w:bidi="ar-SA"/>
        </w:rPr>
        <w:t xml:space="preserve"> promotes an innovative and internationa</w:t>
      </w:r>
      <w:r>
        <w:rPr>
          <w:lang w:bidi="ar-SA"/>
        </w:rPr>
        <w:t xml:space="preserve">lly competitive </w:t>
      </w:r>
      <w:r w:rsidR="00265939">
        <w:rPr>
          <w:lang w:bidi="ar-SA"/>
        </w:rPr>
        <w:t>industry</w:t>
      </w:r>
      <w:r>
        <w:rPr>
          <w:lang w:bidi="ar-SA"/>
        </w:rPr>
        <w:t>.</w:t>
      </w:r>
    </w:p>
    <w:p w14:paraId="664C6658" w14:textId="6CFD350D" w:rsidR="005949D8" w:rsidRDefault="005949D8" w:rsidP="00981F0E">
      <w:pPr>
        <w:rPr>
          <w:lang w:bidi="ar-SA"/>
        </w:rPr>
      </w:pPr>
    </w:p>
    <w:p w14:paraId="48E91A39" w14:textId="6470EF59" w:rsidR="00265939" w:rsidRDefault="00FA793D" w:rsidP="00981F0E">
      <w:pPr>
        <w:rPr>
          <w:lang w:bidi="ar-SA"/>
        </w:rPr>
      </w:pPr>
      <w:r>
        <w:rPr>
          <w:lang w:bidi="ar-SA"/>
        </w:rPr>
        <w:t xml:space="preserve">Issues </w:t>
      </w:r>
      <w:r w:rsidR="00265939">
        <w:rPr>
          <w:lang w:bidi="ar-SA"/>
        </w:rPr>
        <w:t xml:space="preserve">or questions requiring clarification </w:t>
      </w:r>
      <w:r>
        <w:rPr>
          <w:lang w:bidi="ar-SA"/>
        </w:rPr>
        <w:t xml:space="preserve">from relevant submissions </w:t>
      </w:r>
      <w:r w:rsidR="00265939">
        <w:rPr>
          <w:lang w:bidi="ar-SA"/>
        </w:rPr>
        <w:t>have been summarised and responded to in Table 1.</w:t>
      </w:r>
      <w:r w:rsidR="007376B8">
        <w:rPr>
          <w:lang w:bidi="ar-SA"/>
        </w:rPr>
        <w:t xml:space="preserve"> </w:t>
      </w:r>
    </w:p>
    <w:p w14:paraId="538CEEA6" w14:textId="77777777" w:rsidR="00387587" w:rsidRDefault="00387587" w:rsidP="00981F0E">
      <w:pPr>
        <w:rPr>
          <w:lang w:bidi="ar-SA"/>
        </w:rPr>
      </w:pPr>
    </w:p>
    <w:p w14:paraId="1A8E1BD3" w14:textId="7313FB6E" w:rsidR="004E780E" w:rsidRDefault="00265939" w:rsidP="00981F0E">
      <w:pPr>
        <w:rPr>
          <w:lang w:bidi="ar-SA"/>
        </w:rPr>
      </w:pPr>
      <w:r>
        <w:rPr>
          <w:lang w:bidi="ar-SA"/>
        </w:rPr>
        <w:t>FSANZ noted a high</w:t>
      </w:r>
      <w:r w:rsidR="00387587">
        <w:rPr>
          <w:lang w:bidi="ar-SA"/>
        </w:rPr>
        <w:t xml:space="preserve"> volume of stakeholder interest in</w:t>
      </w:r>
      <w:r w:rsidR="004E780E">
        <w:rPr>
          <w:lang w:bidi="ar-SA"/>
        </w:rPr>
        <w:t xml:space="preserve"> broader</w:t>
      </w:r>
      <w:r w:rsidR="00387587">
        <w:rPr>
          <w:lang w:bidi="ar-SA"/>
        </w:rPr>
        <w:t xml:space="preserve"> </w:t>
      </w:r>
      <w:r w:rsidR="004E780E">
        <w:rPr>
          <w:lang w:bidi="ar-SA"/>
        </w:rPr>
        <w:t>issues relating to the</w:t>
      </w:r>
      <w:r w:rsidR="00387587">
        <w:rPr>
          <w:lang w:bidi="ar-SA"/>
        </w:rPr>
        <w:t xml:space="preserve"> applicant’s </w:t>
      </w:r>
      <w:r w:rsidR="00E1362C">
        <w:rPr>
          <w:lang w:bidi="ar-SA"/>
        </w:rPr>
        <w:t>Impossible</w:t>
      </w:r>
      <w:r w:rsidR="00BF635C">
        <w:rPr>
          <w:lang w:bidi="ar-SA"/>
        </w:rPr>
        <w:t xml:space="preserve"> </w:t>
      </w:r>
      <w:r w:rsidR="00387587">
        <w:rPr>
          <w:lang w:bidi="ar-SA"/>
        </w:rPr>
        <w:t>meat analogue products</w:t>
      </w:r>
      <w:r w:rsidR="00BF635C">
        <w:rPr>
          <w:lang w:bidi="ar-SA"/>
        </w:rPr>
        <w:t xml:space="preserve">, and analogue products more </w:t>
      </w:r>
      <w:r w:rsidR="0050386B">
        <w:rPr>
          <w:lang w:bidi="ar-SA"/>
        </w:rPr>
        <w:t>broadly</w:t>
      </w:r>
      <w:r w:rsidR="00BF635C">
        <w:rPr>
          <w:lang w:bidi="ar-SA"/>
        </w:rPr>
        <w:t xml:space="preserve">. Any issue pertaining </w:t>
      </w:r>
      <w:r w:rsidR="000C299F">
        <w:rPr>
          <w:lang w:bidi="ar-SA"/>
        </w:rPr>
        <w:t xml:space="preserve">directly </w:t>
      </w:r>
      <w:r w:rsidR="00BF635C">
        <w:rPr>
          <w:lang w:bidi="ar-SA"/>
        </w:rPr>
        <w:t xml:space="preserve">to the final food for sale has been addressed </w:t>
      </w:r>
      <w:r w:rsidR="007C26E4">
        <w:rPr>
          <w:lang w:bidi="ar-SA"/>
        </w:rPr>
        <w:t xml:space="preserve">in </w:t>
      </w:r>
      <w:r w:rsidR="00BF635C">
        <w:rPr>
          <w:lang w:bidi="ar-SA"/>
        </w:rPr>
        <w:t>Table 2</w:t>
      </w:r>
      <w:r>
        <w:rPr>
          <w:lang w:bidi="ar-SA"/>
        </w:rPr>
        <w:t>.</w:t>
      </w:r>
      <w:r w:rsidR="00387587">
        <w:rPr>
          <w:lang w:bidi="ar-SA"/>
        </w:rPr>
        <w:t xml:space="preserve"> </w:t>
      </w:r>
    </w:p>
    <w:p w14:paraId="24AE965E" w14:textId="77777777" w:rsidR="00001409" w:rsidRDefault="00001409" w:rsidP="00981F0E">
      <w:pPr>
        <w:rPr>
          <w:lang w:bidi="ar-SA"/>
        </w:rPr>
      </w:pPr>
    </w:p>
    <w:p w14:paraId="5981DE6A" w14:textId="323B7C2C" w:rsidR="00050BA7" w:rsidRDefault="00050BA7" w:rsidP="00981F0E">
      <w:pPr>
        <w:rPr>
          <w:lang w:bidi="ar-SA"/>
        </w:rPr>
        <w:sectPr w:rsidR="00050BA7" w:rsidSect="005F6A0F">
          <w:pgSz w:w="11906" w:h="16838" w:code="9"/>
          <w:pgMar w:top="1418" w:right="1418" w:bottom="1134" w:left="1418" w:header="709" w:footer="709" w:gutter="0"/>
          <w:pgNumType w:start="1"/>
          <w:cols w:space="708"/>
          <w:docGrid w:linePitch="360"/>
        </w:sectPr>
      </w:pPr>
    </w:p>
    <w:p w14:paraId="5210C2A3" w14:textId="73152011" w:rsidR="00F33BB8" w:rsidRDefault="00F33BB8" w:rsidP="00F33BB8">
      <w:pPr>
        <w:pStyle w:val="FSTableTitle"/>
      </w:pPr>
      <w:r>
        <w:lastRenderedPageBreak/>
        <w:t xml:space="preserve">Table 1: Summary of issues </w:t>
      </w:r>
      <w:r w:rsidR="00981F0E">
        <w:t xml:space="preserve">with </w:t>
      </w:r>
      <w:r w:rsidR="005654C7">
        <w:t>s</w:t>
      </w:r>
      <w:r w:rsidR="00981F0E">
        <w:t>oy leghemoglobin</w:t>
      </w:r>
      <w:r w:rsidR="005654C7">
        <w:t xml:space="preserve"> in the form of LegH Prep</w:t>
      </w:r>
    </w:p>
    <w:p w14:paraId="6807B956" w14:textId="77777777" w:rsidR="00F33BB8" w:rsidRPr="00B853D2" w:rsidRDefault="00F33BB8" w:rsidP="00F33BB8"/>
    <w:tbl>
      <w:tblPr>
        <w:tblStyle w:val="GridTable4-Accent3"/>
        <w:tblW w:w="5099" w:type="pct"/>
        <w:tblLayout w:type="fixed"/>
        <w:tblLook w:val="04A0" w:firstRow="1" w:lastRow="0" w:firstColumn="1" w:lastColumn="0" w:noHBand="0" w:noVBand="1"/>
        <w:tblCaption w:val="Table 1: Summary of issues with soy leghemoglobin in the form of LegH Prep"/>
        <w:tblDescription w:val="A table that summarises all submission issues recieved at the 1st CFS and relate to soy leghemoglogin or the LegH Prep preparation"/>
      </w:tblPr>
      <w:tblGrid>
        <w:gridCol w:w="422"/>
        <w:gridCol w:w="4534"/>
        <w:gridCol w:w="2271"/>
        <w:gridCol w:w="7332"/>
      </w:tblGrid>
      <w:tr w:rsidR="00AF19A9" w:rsidRPr="00BA2E47" w14:paraId="7B5EE61E" w14:textId="77777777" w:rsidTr="005440CC">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145" w:type="pct"/>
            <w:vAlign w:val="center"/>
          </w:tcPr>
          <w:p w14:paraId="58F32B4C" w14:textId="7305F1DA" w:rsidR="009E6DBF" w:rsidRPr="006361EE" w:rsidRDefault="009E6DBF" w:rsidP="005440CC">
            <w:pPr>
              <w:spacing w:after="240"/>
              <w:ind w:right="-50"/>
              <w:rPr>
                <w:rFonts w:cs="Arial"/>
                <w:b w:val="0"/>
                <w:bCs w:val="0"/>
                <w:sz w:val="20"/>
                <w:szCs w:val="20"/>
              </w:rPr>
            </w:pPr>
          </w:p>
        </w:tc>
        <w:tc>
          <w:tcPr>
            <w:tcW w:w="1557" w:type="pct"/>
          </w:tcPr>
          <w:p w14:paraId="0B5DF515" w14:textId="6156C5E7" w:rsidR="001350D6" w:rsidRPr="00AA6C82" w:rsidRDefault="001350D6" w:rsidP="005440CC">
            <w:pPr>
              <w:jc w:val="center"/>
              <w:cnfStyle w:val="100000000000" w:firstRow="1" w:lastRow="0" w:firstColumn="0" w:lastColumn="0" w:oddVBand="0" w:evenVBand="0" w:oddHBand="0" w:evenHBand="0" w:firstRowFirstColumn="0" w:firstRowLastColumn="0" w:lastRowFirstColumn="0" w:lastRowLastColumn="0"/>
              <w:rPr>
                <w:rFonts w:cs="Arial"/>
                <w:sz w:val="24"/>
                <w:szCs w:val="20"/>
              </w:rPr>
            </w:pPr>
            <w:r w:rsidRPr="00AA6C82">
              <w:rPr>
                <w:rFonts w:cs="Arial"/>
                <w:sz w:val="24"/>
                <w:szCs w:val="20"/>
              </w:rPr>
              <w:t>Issue</w:t>
            </w:r>
          </w:p>
        </w:tc>
        <w:tc>
          <w:tcPr>
            <w:tcW w:w="780" w:type="pct"/>
          </w:tcPr>
          <w:p w14:paraId="2E8FDC21" w14:textId="2A15F268" w:rsidR="001350D6" w:rsidRPr="00AA6C82" w:rsidRDefault="001350D6" w:rsidP="005440CC">
            <w:pPr>
              <w:jc w:val="center"/>
              <w:cnfStyle w:val="100000000000" w:firstRow="1" w:lastRow="0" w:firstColumn="0" w:lastColumn="0" w:oddVBand="0" w:evenVBand="0" w:oddHBand="0" w:evenHBand="0" w:firstRowFirstColumn="0" w:firstRowLastColumn="0" w:lastRowFirstColumn="0" w:lastRowLastColumn="0"/>
              <w:rPr>
                <w:rFonts w:cs="Arial"/>
                <w:sz w:val="24"/>
                <w:szCs w:val="20"/>
              </w:rPr>
            </w:pPr>
            <w:r w:rsidRPr="00AA6C82">
              <w:rPr>
                <w:rFonts w:cs="Arial"/>
                <w:sz w:val="24"/>
                <w:szCs w:val="20"/>
              </w:rPr>
              <w:t>Raised by</w:t>
            </w:r>
            <w:r w:rsidR="00741890">
              <w:rPr>
                <w:rFonts w:cs="Arial"/>
                <w:sz w:val="24"/>
                <w:szCs w:val="20"/>
              </w:rPr>
              <w:t xml:space="preserve"> (No. submitters)</w:t>
            </w:r>
          </w:p>
        </w:tc>
        <w:tc>
          <w:tcPr>
            <w:tcW w:w="2518" w:type="pct"/>
          </w:tcPr>
          <w:p w14:paraId="5FFCABFD" w14:textId="77777777" w:rsidR="001350D6" w:rsidRPr="00AA6C82" w:rsidRDefault="001350D6" w:rsidP="005440CC">
            <w:pPr>
              <w:jc w:val="center"/>
              <w:cnfStyle w:val="100000000000" w:firstRow="1" w:lastRow="0" w:firstColumn="0" w:lastColumn="0" w:oddVBand="0" w:evenVBand="0" w:oddHBand="0" w:evenHBand="0" w:firstRowFirstColumn="0" w:firstRowLastColumn="0" w:lastRowFirstColumn="0" w:lastRowLastColumn="0"/>
              <w:rPr>
                <w:rFonts w:cs="Arial"/>
                <w:sz w:val="24"/>
                <w:szCs w:val="20"/>
              </w:rPr>
            </w:pPr>
            <w:r w:rsidRPr="00AA6C82">
              <w:rPr>
                <w:rFonts w:cs="Arial"/>
                <w:sz w:val="24"/>
                <w:szCs w:val="20"/>
              </w:rPr>
              <w:t>FSANZ response</w:t>
            </w:r>
          </w:p>
        </w:tc>
      </w:tr>
      <w:tr w:rsidR="00517ED4" w:rsidRPr="00BA2E47" w14:paraId="2A9A6023" w14:textId="77777777" w:rsidTr="00525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3F1DF39B" w14:textId="77777777" w:rsidR="00517ED4" w:rsidRPr="00517ED4" w:rsidRDefault="00517ED4" w:rsidP="0052545E">
            <w:pPr>
              <w:ind w:left="29" w:right="-50" w:firstLine="2"/>
              <w:jc w:val="center"/>
              <w:rPr>
                <w:rFonts w:cs="Arial"/>
                <w:sz w:val="20"/>
                <w:szCs w:val="20"/>
              </w:rPr>
            </w:pPr>
          </w:p>
        </w:tc>
        <w:tc>
          <w:tcPr>
            <w:tcW w:w="4855" w:type="pct"/>
            <w:gridSpan w:val="3"/>
          </w:tcPr>
          <w:p w14:paraId="733A9CB2" w14:textId="144D1EE4" w:rsidR="00517ED4" w:rsidRPr="00BA2E47" w:rsidRDefault="00517ED4" w:rsidP="002B6FB6">
            <w:pPr>
              <w:spacing w:after="240"/>
              <w:ind w:right="135"/>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6361EE">
              <w:rPr>
                <w:rFonts w:cs="Arial"/>
                <w:b/>
                <w:sz w:val="24"/>
                <w:szCs w:val="20"/>
                <w:lang w:eastAsia="en-GB"/>
              </w:rPr>
              <w:t>Proposed regulatory approach</w:t>
            </w:r>
            <w:r>
              <w:rPr>
                <w:rFonts w:cs="Arial"/>
                <w:b/>
                <w:sz w:val="24"/>
                <w:szCs w:val="20"/>
                <w:lang w:eastAsia="en-GB"/>
              </w:rPr>
              <w:t xml:space="preserve"> of </w:t>
            </w:r>
            <w:r w:rsidR="002B6FB6">
              <w:rPr>
                <w:rFonts w:cs="Arial"/>
                <w:b/>
                <w:sz w:val="24"/>
                <w:szCs w:val="20"/>
                <w:lang w:eastAsia="en-GB"/>
              </w:rPr>
              <w:t>s</w:t>
            </w:r>
            <w:r>
              <w:rPr>
                <w:rFonts w:cs="Arial"/>
                <w:b/>
                <w:sz w:val="24"/>
                <w:szCs w:val="20"/>
                <w:lang w:eastAsia="en-GB"/>
              </w:rPr>
              <w:t>oy leghemoglobin</w:t>
            </w:r>
            <w:r w:rsidRPr="006361EE">
              <w:rPr>
                <w:rFonts w:cs="Arial"/>
                <w:b/>
                <w:sz w:val="24"/>
                <w:szCs w:val="20"/>
                <w:lang w:eastAsia="en-GB"/>
              </w:rPr>
              <w:t xml:space="preserve"> in Australia and New Zealand</w:t>
            </w:r>
          </w:p>
        </w:tc>
      </w:tr>
      <w:tr w:rsidR="00BA2E47" w:rsidRPr="00BA2E47" w14:paraId="569309F2" w14:textId="77777777" w:rsidTr="005440CC">
        <w:tc>
          <w:tcPr>
            <w:cnfStyle w:val="001000000000" w:firstRow="0" w:lastRow="0" w:firstColumn="1" w:lastColumn="0" w:oddVBand="0" w:evenVBand="0" w:oddHBand="0" w:evenHBand="0" w:firstRowFirstColumn="0" w:firstRowLastColumn="0" w:lastRowFirstColumn="0" w:lastRowLastColumn="0"/>
            <w:tcW w:w="145" w:type="pct"/>
            <w:vAlign w:val="center"/>
          </w:tcPr>
          <w:p w14:paraId="20285831" w14:textId="77777777" w:rsidR="001350D6" w:rsidRPr="006361EE" w:rsidRDefault="001350D6" w:rsidP="0052545E">
            <w:pPr>
              <w:pStyle w:val="ListParagraph"/>
              <w:numPr>
                <w:ilvl w:val="0"/>
                <w:numId w:val="8"/>
              </w:numPr>
              <w:ind w:left="29" w:right="-50" w:firstLine="2"/>
              <w:jc w:val="center"/>
              <w:rPr>
                <w:rFonts w:cs="Arial"/>
                <w:b w:val="0"/>
                <w:bCs w:val="0"/>
                <w:sz w:val="20"/>
                <w:szCs w:val="20"/>
              </w:rPr>
            </w:pPr>
          </w:p>
        </w:tc>
        <w:tc>
          <w:tcPr>
            <w:tcW w:w="1557" w:type="pct"/>
          </w:tcPr>
          <w:p w14:paraId="02AF0B9B" w14:textId="0AE40AA0" w:rsidR="001350D6" w:rsidRPr="00081EB9" w:rsidRDefault="001350D6" w:rsidP="00723F49">
            <w:pPr>
              <w:cnfStyle w:val="000000000000" w:firstRow="0" w:lastRow="0" w:firstColumn="0" w:lastColumn="0" w:oddVBand="0" w:evenVBand="0" w:oddHBand="0" w:evenHBand="0" w:firstRowFirstColumn="0" w:firstRowLastColumn="0" w:lastRowFirstColumn="0" w:lastRowLastColumn="0"/>
              <w:rPr>
                <w:sz w:val="20"/>
              </w:rPr>
            </w:pPr>
            <w:r w:rsidRPr="00081EB9">
              <w:rPr>
                <w:sz w:val="20"/>
              </w:rPr>
              <w:t>The purpose of soy leghemoglobin is unclear</w:t>
            </w:r>
            <w:r w:rsidR="00CD7253">
              <w:rPr>
                <w:sz w:val="20"/>
              </w:rPr>
              <w:t xml:space="preserve"> in the application and 1</w:t>
            </w:r>
            <w:r w:rsidR="00CD7253" w:rsidRPr="00CD7253">
              <w:rPr>
                <w:sz w:val="20"/>
                <w:vertAlign w:val="superscript"/>
              </w:rPr>
              <w:t>st</w:t>
            </w:r>
            <w:r w:rsidR="00CD7253">
              <w:rPr>
                <w:sz w:val="20"/>
              </w:rPr>
              <w:t xml:space="preserve"> CFS report</w:t>
            </w:r>
            <w:r w:rsidRPr="00081EB9">
              <w:rPr>
                <w:sz w:val="20"/>
              </w:rPr>
              <w:t xml:space="preserve">, therefore FSANZ’s proposed regulatory approach </w:t>
            </w:r>
            <w:r w:rsidR="00D3415E">
              <w:rPr>
                <w:sz w:val="20"/>
              </w:rPr>
              <w:t>has not been made</w:t>
            </w:r>
            <w:r w:rsidR="00D3415E" w:rsidRPr="00081EB9">
              <w:rPr>
                <w:sz w:val="20"/>
              </w:rPr>
              <w:t xml:space="preserve"> </w:t>
            </w:r>
            <w:r w:rsidRPr="00081EB9">
              <w:rPr>
                <w:sz w:val="20"/>
              </w:rPr>
              <w:t>clear.</w:t>
            </w:r>
          </w:p>
        </w:tc>
        <w:tc>
          <w:tcPr>
            <w:tcW w:w="780" w:type="pct"/>
          </w:tcPr>
          <w:p w14:paraId="105CF2C8" w14:textId="7F36834A" w:rsidR="001350D6" w:rsidRPr="00081EB9" w:rsidRDefault="00081EB9" w:rsidP="00723F49">
            <w:pPr>
              <w:cnfStyle w:val="000000000000" w:firstRow="0" w:lastRow="0" w:firstColumn="0" w:lastColumn="0" w:oddVBand="0" w:evenVBand="0" w:oddHBand="0" w:evenHBand="0" w:firstRowFirstColumn="0" w:firstRowLastColumn="0" w:lastRowFirstColumn="0" w:lastRowLastColumn="0"/>
              <w:rPr>
                <w:sz w:val="20"/>
              </w:rPr>
            </w:pPr>
            <w:r w:rsidRPr="00081EB9">
              <w:rPr>
                <w:sz w:val="20"/>
              </w:rPr>
              <w:t>Not for Profit (1);</w:t>
            </w:r>
            <w:r w:rsidR="001350D6" w:rsidRPr="00081EB9">
              <w:rPr>
                <w:sz w:val="20"/>
              </w:rPr>
              <w:t xml:space="preserve"> </w:t>
            </w:r>
            <w:r w:rsidRPr="00081EB9">
              <w:rPr>
                <w:sz w:val="20"/>
              </w:rPr>
              <w:t xml:space="preserve">Government (4) </w:t>
            </w:r>
          </w:p>
        </w:tc>
        <w:tc>
          <w:tcPr>
            <w:tcW w:w="2518" w:type="pct"/>
          </w:tcPr>
          <w:p w14:paraId="58DAA259" w14:textId="50FD515C" w:rsidR="001350D6" w:rsidRPr="00081EB9" w:rsidRDefault="00B05DD7" w:rsidP="005440CC">
            <w:pPr>
              <w:spacing w:after="240"/>
              <w:cnfStyle w:val="000000000000" w:firstRow="0" w:lastRow="0" w:firstColumn="0" w:lastColumn="0" w:oddVBand="0" w:evenVBand="0" w:oddHBand="0" w:evenHBand="0" w:firstRowFirstColumn="0" w:firstRowLastColumn="0" w:lastRowFirstColumn="0" w:lastRowLastColumn="0"/>
              <w:rPr>
                <w:sz w:val="20"/>
              </w:rPr>
            </w:pPr>
            <w:r w:rsidRPr="00081EB9">
              <w:rPr>
                <w:sz w:val="20"/>
              </w:rPr>
              <w:t>FSANZ acknowledges submitter requests for clarity around the regulatory approach taken for soy leghemoglobin</w:t>
            </w:r>
            <w:r w:rsidR="00F960FC">
              <w:rPr>
                <w:sz w:val="20"/>
              </w:rPr>
              <w:t xml:space="preserve"> a</w:t>
            </w:r>
            <w:r w:rsidR="007C26E4">
              <w:rPr>
                <w:sz w:val="20"/>
              </w:rPr>
              <w:t>s</w:t>
            </w:r>
            <w:r w:rsidR="005E0FFD">
              <w:rPr>
                <w:sz w:val="20"/>
              </w:rPr>
              <w:t xml:space="preserve"> the purpose of the 1</w:t>
            </w:r>
            <w:r w:rsidR="005E0FFD" w:rsidRPr="00F960FC">
              <w:rPr>
                <w:sz w:val="20"/>
                <w:vertAlign w:val="superscript"/>
              </w:rPr>
              <w:t>st</w:t>
            </w:r>
            <w:r w:rsidR="005E0FFD">
              <w:rPr>
                <w:sz w:val="20"/>
              </w:rPr>
              <w:t xml:space="preserve"> CFS </w:t>
            </w:r>
            <w:r w:rsidR="00F960FC">
              <w:rPr>
                <w:sz w:val="20"/>
              </w:rPr>
              <w:t>was</w:t>
            </w:r>
            <w:r w:rsidR="005E0FFD">
              <w:rPr>
                <w:sz w:val="20"/>
              </w:rPr>
              <w:t xml:space="preserve"> to present the safety assessment and present an initial regulatory direction. </w:t>
            </w:r>
            <w:r w:rsidR="000C299F">
              <w:rPr>
                <w:sz w:val="20"/>
              </w:rPr>
              <w:t>FSANZ has</w:t>
            </w:r>
            <w:r w:rsidR="005E0FFD">
              <w:rPr>
                <w:sz w:val="20"/>
              </w:rPr>
              <w:t xml:space="preserve"> now</w:t>
            </w:r>
            <w:r w:rsidR="000C299F">
              <w:rPr>
                <w:sz w:val="20"/>
              </w:rPr>
              <w:t xml:space="preserve"> finalised </w:t>
            </w:r>
            <w:r w:rsidR="005E0FFD">
              <w:rPr>
                <w:sz w:val="20"/>
              </w:rPr>
              <w:t>a</w:t>
            </w:r>
            <w:r w:rsidR="000C299F">
              <w:rPr>
                <w:sz w:val="20"/>
              </w:rPr>
              <w:t xml:space="preserve"> proposed draft variation for the Code that explains the</w:t>
            </w:r>
            <w:r w:rsidR="005E0FFD">
              <w:rPr>
                <w:sz w:val="20"/>
              </w:rPr>
              <w:t xml:space="preserve"> draft</w:t>
            </w:r>
            <w:r w:rsidR="000C299F">
              <w:rPr>
                <w:sz w:val="20"/>
              </w:rPr>
              <w:t xml:space="preserve"> regulatory approach </w:t>
            </w:r>
            <w:r w:rsidR="005E0FFD">
              <w:rPr>
                <w:sz w:val="20"/>
              </w:rPr>
              <w:t xml:space="preserve">for soy leghemoglobin in the form of LegH Prep </w:t>
            </w:r>
            <w:r w:rsidR="000C299F">
              <w:rPr>
                <w:sz w:val="20"/>
              </w:rPr>
              <w:t xml:space="preserve">(see </w:t>
            </w:r>
            <w:r w:rsidR="009C0D8B">
              <w:rPr>
                <w:sz w:val="20"/>
              </w:rPr>
              <w:t>Attachment</w:t>
            </w:r>
            <w:r w:rsidR="001F7E80">
              <w:rPr>
                <w:sz w:val="20"/>
              </w:rPr>
              <w:t xml:space="preserve"> A)</w:t>
            </w:r>
            <w:r w:rsidR="005E0FFD">
              <w:rPr>
                <w:sz w:val="20"/>
              </w:rPr>
              <w:t xml:space="preserve">. Additionally, </w:t>
            </w:r>
            <w:r w:rsidR="001F7E80">
              <w:rPr>
                <w:sz w:val="20"/>
              </w:rPr>
              <w:t xml:space="preserve">the risk management consideration </w:t>
            </w:r>
            <w:r w:rsidR="00F960FC">
              <w:rPr>
                <w:sz w:val="20"/>
              </w:rPr>
              <w:t>in support of</w:t>
            </w:r>
            <w:r w:rsidR="001F7E80">
              <w:rPr>
                <w:sz w:val="20"/>
              </w:rPr>
              <w:t xml:space="preserve"> </w:t>
            </w:r>
            <w:r w:rsidRPr="00081EB9">
              <w:rPr>
                <w:sz w:val="20"/>
              </w:rPr>
              <w:t xml:space="preserve">FSANZ’s </w:t>
            </w:r>
            <w:r w:rsidR="008A7C96">
              <w:rPr>
                <w:sz w:val="20"/>
              </w:rPr>
              <w:t xml:space="preserve">proposed </w:t>
            </w:r>
            <w:r w:rsidR="005E0FFD">
              <w:rPr>
                <w:sz w:val="20"/>
              </w:rPr>
              <w:t xml:space="preserve">draft variation </w:t>
            </w:r>
            <w:r w:rsidR="001F7E80">
              <w:rPr>
                <w:sz w:val="20"/>
              </w:rPr>
              <w:t>can be found under section 3 of this report</w:t>
            </w:r>
            <w:r w:rsidRPr="00081EB9">
              <w:rPr>
                <w:sz w:val="20"/>
              </w:rPr>
              <w:t>.</w:t>
            </w:r>
          </w:p>
        </w:tc>
      </w:tr>
      <w:tr w:rsidR="00723F49" w:rsidRPr="00BA2E47" w14:paraId="3E110C1A" w14:textId="77777777" w:rsidTr="00544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5E2135C8" w14:textId="77777777" w:rsidR="00723F49" w:rsidRPr="006361EE" w:rsidRDefault="00723F49" w:rsidP="0052545E">
            <w:pPr>
              <w:pStyle w:val="ListParagraph"/>
              <w:numPr>
                <w:ilvl w:val="0"/>
                <w:numId w:val="8"/>
              </w:numPr>
              <w:ind w:left="29" w:right="-50" w:firstLine="2"/>
              <w:jc w:val="center"/>
              <w:rPr>
                <w:rFonts w:cs="Arial"/>
                <w:b w:val="0"/>
                <w:bCs w:val="0"/>
                <w:sz w:val="20"/>
                <w:szCs w:val="20"/>
              </w:rPr>
            </w:pPr>
          </w:p>
        </w:tc>
        <w:tc>
          <w:tcPr>
            <w:tcW w:w="1557" w:type="pct"/>
          </w:tcPr>
          <w:p w14:paraId="1F9F2052" w14:textId="73D252A5" w:rsidR="00723F49" w:rsidRDefault="00723F49" w:rsidP="00723F49">
            <w:pPr>
              <w:cnfStyle w:val="000000100000" w:firstRow="0" w:lastRow="0" w:firstColumn="0" w:lastColumn="0" w:oddVBand="0" w:evenVBand="0" w:oddHBand="1" w:evenHBand="0" w:firstRowFirstColumn="0" w:firstRowLastColumn="0" w:lastRowFirstColumn="0" w:lastRowLastColumn="0"/>
              <w:rPr>
                <w:sz w:val="20"/>
              </w:rPr>
            </w:pPr>
            <w:r w:rsidRPr="00081EB9">
              <w:rPr>
                <w:sz w:val="20"/>
              </w:rPr>
              <w:t xml:space="preserve">FSANZ’s regulatory approach </w:t>
            </w:r>
            <w:r w:rsidR="0053191E">
              <w:rPr>
                <w:sz w:val="20"/>
              </w:rPr>
              <w:t>does not appear to align</w:t>
            </w:r>
            <w:r w:rsidRPr="00081EB9">
              <w:rPr>
                <w:sz w:val="20"/>
              </w:rPr>
              <w:t xml:space="preserve"> with </w:t>
            </w:r>
            <w:r w:rsidR="0053191E">
              <w:rPr>
                <w:sz w:val="20"/>
              </w:rPr>
              <w:t xml:space="preserve">that of </w:t>
            </w:r>
            <w:r w:rsidRPr="00081EB9">
              <w:rPr>
                <w:sz w:val="20"/>
              </w:rPr>
              <w:t xml:space="preserve">other international agencies. </w:t>
            </w:r>
          </w:p>
          <w:p w14:paraId="0891245E" w14:textId="77777777" w:rsidR="00723F49" w:rsidRDefault="00723F49" w:rsidP="00081EB9">
            <w:pPr>
              <w:cnfStyle w:val="000000100000" w:firstRow="0" w:lastRow="0" w:firstColumn="0" w:lastColumn="0" w:oddVBand="0" w:evenVBand="0" w:oddHBand="1" w:evenHBand="0" w:firstRowFirstColumn="0" w:firstRowLastColumn="0" w:lastRowFirstColumn="0" w:lastRowLastColumn="0"/>
              <w:rPr>
                <w:sz w:val="20"/>
              </w:rPr>
            </w:pPr>
          </w:p>
          <w:p w14:paraId="3B19230B" w14:textId="36702D93" w:rsidR="00723F49" w:rsidRDefault="00723F49" w:rsidP="00081EB9">
            <w:pPr>
              <w:cnfStyle w:val="000000100000" w:firstRow="0" w:lastRow="0" w:firstColumn="0" w:lastColumn="0" w:oddVBand="0" w:evenVBand="0" w:oddHBand="1" w:evenHBand="0" w:firstRowFirstColumn="0" w:firstRowLastColumn="0" w:lastRowFirstColumn="0" w:lastRowLastColumn="0"/>
              <w:rPr>
                <w:sz w:val="20"/>
              </w:rPr>
            </w:pPr>
            <w:r w:rsidRPr="00081EB9">
              <w:rPr>
                <w:sz w:val="20"/>
              </w:rPr>
              <w:t xml:space="preserve">One submitter requested FSANZ </w:t>
            </w:r>
            <w:r>
              <w:rPr>
                <w:sz w:val="20"/>
              </w:rPr>
              <w:t>defer</w:t>
            </w:r>
            <w:r w:rsidRPr="00081EB9">
              <w:rPr>
                <w:sz w:val="20"/>
              </w:rPr>
              <w:t xml:space="preserve"> assess</w:t>
            </w:r>
            <w:r>
              <w:rPr>
                <w:sz w:val="20"/>
              </w:rPr>
              <w:t>ment</w:t>
            </w:r>
            <w:r w:rsidRPr="00081EB9">
              <w:rPr>
                <w:sz w:val="20"/>
              </w:rPr>
              <w:t xml:space="preserve"> </w:t>
            </w:r>
            <w:r>
              <w:rPr>
                <w:sz w:val="20"/>
              </w:rPr>
              <w:t xml:space="preserve">of </w:t>
            </w:r>
            <w:r w:rsidRPr="00081EB9">
              <w:rPr>
                <w:sz w:val="20"/>
              </w:rPr>
              <w:t>the application until the current EFSA assessment is finalised.</w:t>
            </w:r>
          </w:p>
        </w:tc>
        <w:tc>
          <w:tcPr>
            <w:tcW w:w="780" w:type="pct"/>
          </w:tcPr>
          <w:p w14:paraId="4E623603" w14:textId="0DF21D18" w:rsidR="00723F49" w:rsidRPr="00081EB9" w:rsidRDefault="0053191E" w:rsidP="0053191E">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Government (3) </w:t>
            </w:r>
            <w:r w:rsidR="00723F49" w:rsidRPr="00081EB9">
              <w:rPr>
                <w:sz w:val="20"/>
              </w:rPr>
              <w:t>Consumer organisation (1)</w:t>
            </w:r>
          </w:p>
        </w:tc>
        <w:tc>
          <w:tcPr>
            <w:tcW w:w="2518" w:type="pct"/>
          </w:tcPr>
          <w:p w14:paraId="28DF2889" w14:textId="15E6FC42" w:rsidR="00723F49" w:rsidRDefault="00723F49" w:rsidP="00081EB9">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Aligning regulation of individual </w:t>
            </w:r>
            <w:r w:rsidR="009C0D8B">
              <w:rPr>
                <w:sz w:val="20"/>
              </w:rPr>
              <w:t>ingredients</w:t>
            </w:r>
            <w:r>
              <w:rPr>
                <w:sz w:val="20"/>
              </w:rPr>
              <w:t xml:space="preserve"> with </w:t>
            </w:r>
            <w:r w:rsidR="00157B11">
              <w:rPr>
                <w:sz w:val="20"/>
              </w:rPr>
              <w:t xml:space="preserve">overseas </w:t>
            </w:r>
            <w:r>
              <w:rPr>
                <w:sz w:val="20"/>
              </w:rPr>
              <w:t xml:space="preserve">agencies is not always possible or appropriate. </w:t>
            </w:r>
            <w:r w:rsidR="009C0D8B">
              <w:rPr>
                <w:sz w:val="20"/>
              </w:rPr>
              <w:t xml:space="preserve">Codex provides general guidance on safety assessment, but does not direct its members to a specific regulatory approach. </w:t>
            </w:r>
            <w:r>
              <w:rPr>
                <w:sz w:val="20"/>
              </w:rPr>
              <w:t xml:space="preserve">Each </w:t>
            </w:r>
            <w:r w:rsidR="00157B11">
              <w:rPr>
                <w:sz w:val="20"/>
              </w:rPr>
              <w:t>similar country</w:t>
            </w:r>
            <w:r>
              <w:rPr>
                <w:sz w:val="20"/>
              </w:rPr>
              <w:t xml:space="preserve"> has its own regulatory system that </w:t>
            </w:r>
            <w:r w:rsidR="00157B11">
              <w:rPr>
                <w:sz w:val="20"/>
              </w:rPr>
              <w:t>differs in several respects from</w:t>
            </w:r>
            <w:r>
              <w:rPr>
                <w:sz w:val="20"/>
              </w:rPr>
              <w:t xml:space="preserve"> Australia and New Zealand. For example, the USFDA does not regulate </w:t>
            </w:r>
            <w:r w:rsidR="00157B11">
              <w:rPr>
                <w:sz w:val="20"/>
              </w:rPr>
              <w:t xml:space="preserve">a category of </w:t>
            </w:r>
            <w:r>
              <w:rPr>
                <w:sz w:val="20"/>
              </w:rPr>
              <w:t xml:space="preserve">nutritive substances. </w:t>
            </w:r>
            <w:r w:rsidRPr="00081EB9">
              <w:rPr>
                <w:sz w:val="20"/>
              </w:rPr>
              <w:t xml:space="preserve">FSANZ </w:t>
            </w:r>
            <w:r>
              <w:rPr>
                <w:sz w:val="20"/>
              </w:rPr>
              <w:t xml:space="preserve">must determine regulatory measures that are most applicable within the construct of the Code. </w:t>
            </w:r>
          </w:p>
          <w:p w14:paraId="1F308A33" w14:textId="77777777" w:rsidR="00723F49" w:rsidRDefault="00723F49" w:rsidP="00081EB9">
            <w:pPr>
              <w:cnfStyle w:val="000000100000" w:firstRow="0" w:lastRow="0" w:firstColumn="0" w:lastColumn="0" w:oddVBand="0" w:evenVBand="0" w:oddHBand="1" w:evenHBand="0" w:firstRowFirstColumn="0" w:firstRowLastColumn="0" w:lastRowFirstColumn="0" w:lastRowLastColumn="0"/>
              <w:rPr>
                <w:sz w:val="20"/>
              </w:rPr>
            </w:pPr>
          </w:p>
          <w:p w14:paraId="28BEE2D7" w14:textId="354B2754" w:rsidR="00723F49" w:rsidRPr="00081EB9" w:rsidRDefault="00723F49" w:rsidP="005440CC">
            <w:pPr>
              <w:spacing w:after="240"/>
              <w:cnfStyle w:val="000000100000" w:firstRow="0" w:lastRow="0" w:firstColumn="0" w:lastColumn="0" w:oddVBand="0" w:evenVBand="0" w:oddHBand="1" w:evenHBand="0" w:firstRowFirstColumn="0" w:firstRowLastColumn="0" w:lastRowFirstColumn="0" w:lastRowLastColumn="0"/>
              <w:rPr>
                <w:sz w:val="20"/>
              </w:rPr>
            </w:pPr>
            <w:r>
              <w:rPr>
                <w:sz w:val="20"/>
              </w:rPr>
              <w:t xml:space="preserve">As an independent statutory agency, FSANZ cannot </w:t>
            </w:r>
            <w:r w:rsidRPr="00081EB9">
              <w:rPr>
                <w:sz w:val="20"/>
              </w:rPr>
              <w:t xml:space="preserve">delay the completion of an assessment based on current or future international permissions. </w:t>
            </w:r>
          </w:p>
        </w:tc>
      </w:tr>
      <w:tr w:rsidR="00AF19A9" w:rsidRPr="00BA2E47" w14:paraId="054E98B5" w14:textId="77777777" w:rsidTr="005440CC">
        <w:tc>
          <w:tcPr>
            <w:cnfStyle w:val="001000000000" w:firstRow="0" w:lastRow="0" w:firstColumn="1" w:lastColumn="0" w:oddVBand="0" w:evenVBand="0" w:oddHBand="0" w:evenHBand="0" w:firstRowFirstColumn="0" w:firstRowLastColumn="0" w:lastRowFirstColumn="0" w:lastRowLastColumn="0"/>
            <w:tcW w:w="145" w:type="pct"/>
            <w:vAlign w:val="center"/>
          </w:tcPr>
          <w:p w14:paraId="6EDD383E" w14:textId="77777777" w:rsidR="001350D6" w:rsidRPr="006361EE" w:rsidRDefault="001350D6" w:rsidP="0052545E">
            <w:pPr>
              <w:pStyle w:val="ListParagraph"/>
              <w:numPr>
                <w:ilvl w:val="0"/>
                <w:numId w:val="8"/>
              </w:numPr>
              <w:ind w:left="29" w:right="-50" w:firstLine="2"/>
              <w:jc w:val="center"/>
              <w:rPr>
                <w:rFonts w:cs="Arial"/>
                <w:b w:val="0"/>
                <w:bCs w:val="0"/>
                <w:sz w:val="20"/>
                <w:szCs w:val="20"/>
              </w:rPr>
            </w:pPr>
          </w:p>
        </w:tc>
        <w:tc>
          <w:tcPr>
            <w:tcW w:w="1557" w:type="pct"/>
          </w:tcPr>
          <w:p w14:paraId="3BA9E705" w14:textId="303DA4DD" w:rsidR="001350D6" w:rsidRPr="00081EB9" w:rsidRDefault="00BA2E47" w:rsidP="005440CC">
            <w:pPr>
              <w:spacing w:after="240"/>
              <w:cnfStyle w:val="000000000000" w:firstRow="0" w:lastRow="0" w:firstColumn="0" w:lastColumn="0" w:oddVBand="0" w:evenVBand="0" w:oddHBand="0" w:evenHBand="0" w:firstRowFirstColumn="0" w:firstRowLastColumn="0" w:lastRowFirstColumn="0" w:lastRowLastColumn="0"/>
              <w:rPr>
                <w:sz w:val="20"/>
              </w:rPr>
            </w:pPr>
            <w:r w:rsidRPr="00081EB9">
              <w:rPr>
                <w:sz w:val="20"/>
              </w:rPr>
              <w:t xml:space="preserve">Submitter </w:t>
            </w:r>
            <w:r w:rsidR="004C3510" w:rsidRPr="00081EB9">
              <w:rPr>
                <w:sz w:val="20"/>
              </w:rPr>
              <w:t>queried</w:t>
            </w:r>
            <w:r w:rsidRPr="00081EB9">
              <w:rPr>
                <w:sz w:val="20"/>
              </w:rPr>
              <w:t xml:space="preserve"> the need </w:t>
            </w:r>
            <w:r w:rsidR="004C3510" w:rsidRPr="00081EB9">
              <w:rPr>
                <w:sz w:val="20"/>
              </w:rPr>
              <w:t>for</w:t>
            </w:r>
            <w:r w:rsidRPr="00081EB9">
              <w:rPr>
                <w:sz w:val="20"/>
              </w:rPr>
              <w:t xml:space="preserve"> a maximum permitted use le</w:t>
            </w:r>
            <w:r w:rsidR="004C3510" w:rsidRPr="00081EB9">
              <w:rPr>
                <w:sz w:val="20"/>
              </w:rPr>
              <w:t xml:space="preserve">vel for </w:t>
            </w:r>
            <w:r w:rsidR="002B6FB6">
              <w:rPr>
                <w:sz w:val="20"/>
              </w:rPr>
              <w:t>s</w:t>
            </w:r>
            <w:r w:rsidRPr="00081EB9">
              <w:rPr>
                <w:sz w:val="20"/>
              </w:rPr>
              <w:t xml:space="preserve">oy leghemoglobin. </w:t>
            </w:r>
            <w:r w:rsidR="004C3510" w:rsidRPr="00081EB9">
              <w:rPr>
                <w:sz w:val="20"/>
              </w:rPr>
              <w:t>G</w:t>
            </w:r>
            <w:r w:rsidRPr="00081EB9">
              <w:rPr>
                <w:sz w:val="20"/>
              </w:rPr>
              <w:t>iven</w:t>
            </w:r>
            <w:r w:rsidR="004C3510" w:rsidRPr="00081EB9">
              <w:rPr>
                <w:sz w:val="20"/>
              </w:rPr>
              <w:t xml:space="preserve"> no</w:t>
            </w:r>
            <w:r w:rsidRPr="00081EB9">
              <w:rPr>
                <w:sz w:val="20"/>
              </w:rPr>
              <w:t xml:space="preserve"> public health and safety concerns were identified during the </w:t>
            </w:r>
            <w:r w:rsidR="00535F9A">
              <w:rPr>
                <w:sz w:val="20"/>
              </w:rPr>
              <w:t>risk</w:t>
            </w:r>
            <w:r w:rsidRPr="00081EB9">
              <w:rPr>
                <w:sz w:val="20"/>
              </w:rPr>
              <w:t xml:space="preserve"> and technical assessment.</w:t>
            </w:r>
          </w:p>
        </w:tc>
        <w:tc>
          <w:tcPr>
            <w:tcW w:w="780" w:type="pct"/>
          </w:tcPr>
          <w:p w14:paraId="00108615" w14:textId="349CCDE2" w:rsidR="001350D6" w:rsidRPr="00081EB9" w:rsidRDefault="00081EB9" w:rsidP="00081EB9">
            <w:pPr>
              <w:cnfStyle w:val="000000000000" w:firstRow="0" w:lastRow="0" w:firstColumn="0" w:lastColumn="0" w:oddVBand="0" w:evenVBand="0" w:oddHBand="0" w:evenHBand="0" w:firstRowFirstColumn="0" w:firstRowLastColumn="0" w:lastRowFirstColumn="0" w:lastRowLastColumn="0"/>
              <w:rPr>
                <w:sz w:val="20"/>
              </w:rPr>
            </w:pPr>
            <w:r w:rsidRPr="00081EB9">
              <w:rPr>
                <w:sz w:val="20"/>
              </w:rPr>
              <w:t>Industry (1)</w:t>
            </w:r>
          </w:p>
        </w:tc>
        <w:tc>
          <w:tcPr>
            <w:tcW w:w="2518" w:type="pct"/>
          </w:tcPr>
          <w:p w14:paraId="14F49040" w14:textId="63BD160C" w:rsidR="001350D6" w:rsidRPr="00081EB9" w:rsidRDefault="00BA2E47" w:rsidP="00157B11">
            <w:pPr>
              <w:cnfStyle w:val="000000000000" w:firstRow="0" w:lastRow="0" w:firstColumn="0" w:lastColumn="0" w:oddVBand="0" w:evenVBand="0" w:oddHBand="0" w:evenHBand="0" w:firstRowFirstColumn="0" w:firstRowLastColumn="0" w:lastRowFirstColumn="0" w:lastRowLastColumn="0"/>
              <w:rPr>
                <w:sz w:val="20"/>
              </w:rPr>
            </w:pPr>
            <w:r w:rsidRPr="00081EB9">
              <w:rPr>
                <w:sz w:val="20"/>
              </w:rPr>
              <w:t xml:space="preserve">FSANZ has determined it </w:t>
            </w:r>
            <w:r w:rsidR="00D2787F">
              <w:rPr>
                <w:sz w:val="20"/>
              </w:rPr>
              <w:t xml:space="preserve">is </w:t>
            </w:r>
            <w:r w:rsidRPr="00081EB9">
              <w:rPr>
                <w:sz w:val="20"/>
              </w:rPr>
              <w:t xml:space="preserve">appropriate to set a maximum permitted level for the reasons discussed in </w:t>
            </w:r>
            <w:r w:rsidR="008A7C96">
              <w:rPr>
                <w:sz w:val="20"/>
              </w:rPr>
              <w:t xml:space="preserve">Section 3.1.1 </w:t>
            </w:r>
            <w:r w:rsidR="008A7C96">
              <w:rPr>
                <w:i/>
                <w:sz w:val="20"/>
              </w:rPr>
              <w:t>Permitted use levels of soy leghemoglobin</w:t>
            </w:r>
            <w:r w:rsidRPr="00081EB9">
              <w:rPr>
                <w:sz w:val="20"/>
              </w:rPr>
              <w:t>..</w:t>
            </w:r>
          </w:p>
        </w:tc>
      </w:tr>
      <w:tr w:rsidR="00BA2E47" w:rsidRPr="00BA2E47" w14:paraId="79BBC43C" w14:textId="77777777" w:rsidTr="005440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 w:type="pct"/>
            <w:vAlign w:val="center"/>
          </w:tcPr>
          <w:p w14:paraId="35AB7ECB" w14:textId="2DB355C0" w:rsidR="00BA2E47" w:rsidRPr="006361EE" w:rsidRDefault="00BA2E47" w:rsidP="0052545E">
            <w:pPr>
              <w:pStyle w:val="ListParagraph"/>
              <w:numPr>
                <w:ilvl w:val="0"/>
                <w:numId w:val="8"/>
              </w:numPr>
              <w:ind w:left="29" w:right="-50" w:firstLine="2"/>
              <w:jc w:val="center"/>
              <w:rPr>
                <w:rFonts w:cs="Arial"/>
                <w:b w:val="0"/>
                <w:bCs w:val="0"/>
                <w:sz w:val="20"/>
                <w:szCs w:val="20"/>
              </w:rPr>
            </w:pPr>
          </w:p>
        </w:tc>
        <w:tc>
          <w:tcPr>
            <w:tcW w:w="1557" w:type="pct"/>
          </w:tcPr>
          <w:p w14:paraId="0F2BF376" w14:textId="6D9510F8" w:rsidR="00BA2E47" w:rsidRPr="00081EB9" w:rsidRDefault="0030118B" w:rsidP="005440CC">
            <w:pPr>
              <w:spacing w:after="240"/>
              <w:cnfStyle w:val="000000100000" w:firstRow="0" w:lastRow="0" w:firstColumn="0" w:lastColumn="0" w:oddVBand="0" w:evenVBand="0" w:oddHBand="1" w:evenHBand="0" w:firstRowFirstColumn="0" w:firstRowLastColumn="0" w:lastRowFirstColumn="0" w:lastRowLastColumn="0"/>
              <w:rPr>
                <w:sz w:val="20"/>
              </w:rPr>
            </w:pPr>
            <w:r w:rsidRPr="00081EB9">
              <w:rPr>
                <w:sz w:val="20"/>
              </w:rPr>
              <w:t xml:space="preserve">What is the risk of </w:t>
            </w:r>
            <w:r w:rsidR="006B4816">
              <w:rPr>
                <w:sz w:val="20"/>
              </w:rPr>
              <w:t xml:space="preserve">the </w:t>
            </w:r>
            <w:r w:rsidRPr="00081EB9">
              <w:rPr>
                <w:sz w:val="20"/>
              </w:rPr>
              <w:t>soy leghemoglobin being added to meat products (for example, to add colour and</w:t>
            </w:r>
            <w:r w:rsidR="00F438FC" w:rsidRPr="00081EB9">
              <w:rPr>
                <w:sz w:val="20"/>
              </w:rPr>
              <w:t>/or</w:t>
            </w:r>
            <w:r w:rsidRPr="00081EB9">
              <w:rPr>
                <w:sz w:val="20"/>
              </w:rPr>
              <w:t xml:space="preserve"> extend shelf life)</w:t>
            </w:r>
            <w:r w:rsidR="00F438FC" w:rsidRPr="00081EB9">
              <w:rPr>
                <w:sz w:val="20"/>
              </w:rPr>
              <w:t>?</w:t>
            </w:r>
          </w:p>
        </w:tc>
        <w:tc>
          <w:tcPr>
            <w:tcW w:w="780" w:type="pct"/>
          </w:tcPr>
          <w:p w14:paraId="2427B4CF" w14:textId="30289C6E" w:rsidR="00BA2E47" w:rsidRPr="00081EB9" w:rsidRDefault="00081EB9" w:rsidP="00081EB9">
            <w:pPr>
              <w:cnfStyle w:val="000000100000" w:firstRow="0" w:lastRow="0" w:firstColumn="0" w:lastColumn="0" w:oddVBand="0" w:evenVBand="0" w:oddHBand="1" w:evenHBand="0" w:firstRowFirstColumn="0" w:firstRowLastColumn="0" w:lastRowFirstColumn="0" w:lastRowLastColumn="0"/>
              <w:rPr>
                <w:sz w:val="20"/>
                <w:lang w:val="en-AU"/>
              </w:rPr>
            </w:pPr>
            <w:r w:rsidRPr="00081EB9">
              <w:rPr>
                <w:sz w:val="20"/>
              </w:rPr>
              <w:t xml:space="preserve">Government (2) </w:t>
            </w:r>
          </w:p>
        </w:tc>
        <w:tc>
          <w:tcPr>
            <w:tcW w:w="2518" w:type="pct"/>
          </w:tcPr>
          <w:p w14:paraId="225032DB" w14:textId="75842DBE" w:rsidR="00BA2E47" w:rsidRPr="00081EB9" w:rsidRDefault="0052545E" w:rsidP="00475844">
            <w:pPr>
              <w:cnfStyle w:val="000000100000" w:firstRow="0" w:lastRow="0" w:firstColumn="0" w:lastColumn="0" w:oddVBand="0" w:evenVBand="0" w:oddHBand="1" w:evenHBand="0" w:firstRowFirstColumn="0" w:firstRowLastColumn="0" w:lastRowFirstColumn="0" w:lastRowLastColumn="0"/>
              <w:rPr>
                <w:sz w:val="20"/>
              </w:rPr>
            </w:pPr>
            <w:r>
              <w:rPr>
                <w:sz w:val="20"/>
              </w:rPr>
              <w:t>Soy leghemoglobin</w:t>
            </w:r>
            <w:r w:rsidR="0005130D" w:rsidRPr="0005130D">
              <w:rPr>
                <w:sz w:val="20"/>
              </w:rPr>
              <w:t xml:space="preserve"> is proprietary to </w:t>
            </w:r>
            <w:r w:rsidR="0005130D">
              <w:rPr>
                <w:sz w:val="20"/>
              </w:rPr>
              <w:t xml:space="preserve">the applicant. </w:t>
            </w:r>
            <w:r w:rsidR="0005130D">
              <w:rPr>
                <w:sz w:val="20"/>
                <w:lang w:bidi="ar-SA"/>
              </w:rPr>
              <w:t>T</w:t>
            </w:r>
            <w:r w:rsidR="004F7D90">
              <w:rPr>
                <w:sz w:val="20"/>
                <w:lang w:bidi="ar-SA"/>
              </w:rPr>
              <w:t xml:space="preserve">he </w:t>
            </w:r>
            <w:r w:rsidR="00D2787F">
              <w:rPr>
                <w:sz w:val="20"/>
                <w:lang w:bidi="ar-SA"/>
              </w:rPr>
              <w:t xml:space="preserve">use of </w:t>
            </w:r>
            <w:r w:rsidR="0030118B" w:rsidRPr="00081EB9">
              <w:rPr>
                <w:sz w:val="20"/>
                <w:lang w:bidi="ar-SA"/>
              </w:rPr>
              <w:t xml:space="preserve">soy leghemoglobin </w:t>
            </w:r>
            <w:r w:rsidR="004F7D90">
              <w:rPr>
                <w:sz w:val="20"/>
                <w:lang w:bidi="ar-SA"/>
              </w:rPr>
              <w:t xml:space="preserve">would be permitted </w:t>
            </w:r>
            <w:r w:rsidR="0030118B" w:rsidRPr="00081EB9">
              <w:rPr>
                <w:sz w:val="20"/>
                <w:lang w:bidi="ar-SA"/>
              </w:rPr>
              <w:t>in meat analogue products</w:t>
            </w:r>
            <w:r w:rsidR="00D2787F">
              <w:rPr>
                <w:sz w:val="20"/>
                <w:lang w:bidi="ar-SA"/>
              </w:rPr>
              <w:t xml:space="preserve"> only, not other food categories</w:t>
            </w:r>
            <w:r w:rsidR="00475844">
              <w:rPr>
                <w:sz w:val="20"/>
                <w:lang w:bidi="ar-SA"/>
              </w:rPr>
              <w:t>. See Table 2, number 14</w:t>
            </w:r>
            <w:r w:rsidR="004F7D90">
              <w:rPr>
                <w:sz w:val="20"/>
                <w:lang w:bidi="ar-SA"/>
              </w:rPr>
              <w:t>.</w:t>
            </w:r>
          </w:p>
        </w:tc>
      </w:tr>
      <w:tr w:rsidR="00AF19A9" w:rsidRPr="00BA2E47" w14:paraId="48234B5C" w14:textId="77777777" w:rsidTr="001734D6">
        <w:trPr>
          <w:cantSplit/>
        </w:trPr>
        <w:tc>
          <w:tcPr>
            <w:cnfStyle w:val="001000000000" w:firstRow="0" w:lastRow="0" w:firstColumn="1" w:lastColumn="0" w:oddVBand="0" w:evenVBand="0" w:oddHBand="0" w:evenHBand="0" w:firstRowFirstColumn="0" w:firstRowLastColumn="0" w:lastRowFirstColumn="0" w:lastRowLastColumn="0"/>
            <w:tcW w:w="145" w:type="pct"/>
            <w:vAlign w:val="center"/>
          </w:tcPr>
          <w:p w14:paraId="7A2C7F28" w14:textId="02681D76" w:rsidR="00BA2E47" w:rsidRPr="006361EE" w:rsidRDefault="00BA2E47" w:rsidP="0052545E">
            <w:pPr>
              <w:pStyle w:val="ListParagraph"/>
              <w:numPr>
                <w:ilvl w:val="0"/>
                <w:numId w:val="8"/>
              </w:numPr>
              <w:ind w:left="29" w:right="-50" w:firstLine="2"/>
              <w:jc w:val="center"/>
              <w:rPr>
                <w:rFonts w:cs="Arial"/>
                <w:b w:val="0"/>
                <w:bCs w:val="0"/>
                <w:sz w:val="20"/>
                <w:szCs w:val="20"/>
              </w:rPr>
            </w:pPr>
          </w:p>
        </w:tc>
        <w:tc>
          <w:tcPr>
            <w:tcW w:w="1557" w:type="pct"/>
          </w:tcPr>
          <w:p w14:paraId="18172C87" w14:textId="2D14CE70" w:rsidR="00BA2E47" w:rsidRPr="00081EB9" w:rsidRDefault="00BA2E47" w:rsidP="00081EB9">
            <w:pPr>
              <w:cnfStyle w:val="000000000000" w:firstRow="0" w:lastRow="0" w:firstColumn="0" w:lastColumn="0" w:oddVBand="0" w:evenVBand="0" w:oddHBand="0" w:evenHBand="0" w:firstRowFirstColumn="0" w:firstRowLastColumn="0" w:lastRowFirstColumn="0" w:lastRowLastColumn="0"/>
              <w:rPr>
                <w:sz w:val="20"/>
                <w:lang w:val="en-AU"/>
              </w:rPr>
            </w:pPr>
            <w:r w:rsidRPr="00081EB9">
              <w:rPr>
                <w:sz w:val="20"/>
                <w:lang w:val="en-AU"/>
              </w:rPr>
              <w:t>Clarify if ‘5g of protein per serve of the food’ is a qualifying limit for ‘analogues of meat’ under S17—4 of the Code, or an upper limit.</w:t>
            </w:r>
          </w:p>
        </w:tc>
        <w:tc>
          <w:tcPr>
            <w:tcW w:w="780" w:type="pct"/>
          </w:tcPr>
          <w:p w14:paraId="4C13E86C" w14:textId="2014414D" w:rsidR="00BA2E47" w:rsidRPr="00081EB9" w:rsidRDefault="00081EB9" w:rsidP="00081EB9">
            <w:pPr>
              <w:cnfStyle w:val="000000000000" w:firstRow="0" w:lastRow="0" w:firstColumn="0" w:lastColumn="0" w:oddVBand="0" w:evenVBand="0" w:oddHBand="0" w:evenHBand="0" w:firstRowFirstColumn="0" w:firstRowLastColumn="0" w:lastRowFirstColumn="0" w:lastRowLastColumn="0"/>
              <w:rPr>
                <w:sz w:val="20"/>
                <w:lang w:val="en-AU"/>
              </w:rPr>
            </w:pPr>
            <w:r w:rsidRPr="00081EB9">
              <w:rPr>
                <w:sz w:val="20"/>
              </w:rPr>
              <w:t>Government (1)</w:t>
            </w:r>
          </w:p>
        </w:tc>
        <w:tc>
          <w:tcPr>
            <w:tcW w:w="2518" w:type="pct"/>
          </w:tcPr>
          <w:p w14:paraId="32C8459C" w14:textId="75CCA99C" w:rsidR="00BA2E47" w:rsidRPr="00081EB9" w:rsidRDefault="00BA2E47" w:rsidP="00A60807">
            <w:pPr>
              <w:cnfStyle w:val="000000000000" w:firstRow="0" w:lastRow="0" w:firstColumn="0" w:lastColumn="0" w:oddVBand="0" w:evenVBand="0" w:oddHBand="0" w:evenHBand="0" w:firstRowFirstColumn="0" w:firstRowLastColumn="0" w:lastRowFirstColumn="0" w:lastRowLastColumn="0"/>
              <w:rPr>
                <w:sz w:val="20"/>
                <w:lang w:val="en-AU"/>
              </w:rPr>
            </w:pPr>
            <w:r w:rsidRPr="00081EB9">
              <w:rPr>
                <w:sz w:val="20"/>
                <w:lang w:val="en-AU"/>
              </w:rPr>
              <w:t xml:space="preserve">FSANZ acknowledges that the wording ‘5g of protein per serve of the food’ under S17—4 is unclear. FSANZ </w:t>
            </w:r>
            <w:r w:rsidR="004F7D90">
              <w:rPr>
                <w:sz w:val="20"/>
                <w:lang w:val="en-AU"/>
              </w:rPr>
              <w:t>has drafted</w:t>
            </w:r>
            <w:r w:rsidRPr="00081EB9">
              <w:rPr>
                <w:sz w:val="20"/>
                <w:lang w:val="en-AU"/>
              </w:rPr>
              <w:t xml:space="preserve"> a ‘consequential amendment’</w:t>
            </w:r>
            <w:r w:rsidR="006435CF">
              <w:rPr>
                <w:sz w:val="20"/>
                <w:lang w:val="en-AU"/>
              </w:rPr>
              <w:t xml:space="preserve"> to </w:t>
            </w:r>
            <w:r w:rsidRPr="00081EB9">
              <w:rPr>
                <w:sz w:val="20"/>
                <w:lang w:val="en-AU"/>
              </w:rPr>
              <w:t>‘</w:t>
            </w:r>
            <w:r w:rsidRPr="00081EB9">
              <w:rPr>
                <w:b/>
                <w:sz w:val="20"/>
                <w:lang w:val="en-AU"/>
              </w:rPr>
              <w:t>no less than</w:t>
            </w:r>
            <w:r w:rsidRPr="00081EB9">
              <w:rPr>
                <w:sz w:val="20"/>
                <w:lang w:val="en-AU"/>
              </w:rPr>
              <w:t xml:space="preserve"> 5g of protein per serve of the food’</w:t>
            </w:r>
            <w:r w:rsidR="00221775">
              <w:rPr>
                <w:sz w:val="20"/>
                <w:lang w:val="en-AU"/>
              </w:rPr>
              <w:t xml:space="preserve"> which was the original intention of this condition</w:t>
            </w:r>
            <w:r w:rsidRPr="00081EB9">
              <w:rPr>
                <w:sz w:val="20"/>
                <w:lang w:val="en-AU"/>
              </w:rPr>
              <w:t>.</w:t>
            </w:r>
          </w:p>
        </w:tc>
      </w:tr>
      <w:tr w:rsidR="00BA2E47" w:rsidRPr="00BA2E47" w14:paraId="673DD3E1" w14:textId="77777777" w:rsidTr="005440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 w:type="pct"/>
            <w:vAlign w:val="center"/>
          </w:tcPr>
          <w:p w14:paraId="20B0591A" w14:textId="2ED492F6" w:rsidR="00BA2E47" w:rsidRPr="006361EE" w:rsidRDefault="00BA2E47" w:rsidP="0052545E">
            <w:pPr>
              <w:pStyle w:val="ListParagraph"/>
              <w:numPr>
                <w:ilvl w:val="0"/>
                <w:numId w:val="8"/>
              </w:numPr>
              <w:ind w:left="29" w:right="-50" w:firstLine="2"/>
              <w:jc w:val="center"/>
              <w:rPr>
                <w:rFonts w:cs="Arial"/>
                <w:b w:val="0"/>
                <w:bCs w:val="0"/>
                <w:sz w:val="20"/>
                <w:szCs w:val="20"/>
              </w:rPr>
            </w:pPr>
          </w:p>
        </w:tc>
        <w:tc>
          <w:tcPr>
            <w:tcW w:w="1557" w:type="pct"/>
          </w:tcPr>
          <w:p w14:paraId="2856FABC" w14:textId="556D5CDB" w:rsidR="00BA2E47" w:rsidRPr="00081EB9" w:rsidRDefault="00AA5CE8" w:rsidP="002B6FB6">
            <w:pPr>
              <w:cnfStyle w:val="000000100000" w:firstRow="0" w:lastRow="0" w:firstColumn="0" w:lastColumn="0" w:oddVBand="0" w:evenVBand="0" w:oddHBand="1" w:evenHBand="0" w:firstRowFirstColumn="0" w:firstRowLastColumn="0" w:lastRowFirstColumn="0" w:lastRowLastColumn="0"/>
              <w:rPr>
                <w:sz w:val="20"/>
                <w:lang w:val="en-AU"/>
              </w:rPr>
            </w:pPr>
            <w:r w:rsidRPr="00081EB9">
              <w:rPr>
                <w:iCs/>
                <w:sz w:val="20"/>
                <w:lang w:val="en-AU"/>
              </w:rPr>
              <w:t>The applicant</w:t>
            </w:r>
            <w:r w:rsidR="00A0465D" w:rsidRPr="00081EB9">
              <w:rPr>
                <w:iCs/>
                <w:sz w:val="20"/>
                <w:lang w:val="en-AU"/>
              </w:rPr>
              <w:t>’</w:t>
            </w:r>
            <w:r w:rsidRPr="00081EB9">
              <w:rPr>
                <w:iCs/>
                <w:sz w:val="20"/>
                <w:lang w:val="en-AU"/>
              </w:rPr>
              <w:t xml:space="preserve">s method of analysis </w:t>
            </w:r>
            <w:r w:rsidR="00E175AB">
              <w:rPr>
                <w:iCs/>
                <w:sz w:val="20"/>
                <w:lang w:val="en-AU"/>
              </w:rPr>
              <w:t xml:space="preserve">for detecting soy leghemoglobin in meat analogue products </w:t>
            </w:r>
            <w:r w:rsidRPr="00081EB9">
              <w:rPr>
                <w:iCs/>
                <w:sz w:val="20"/>
                <w:lang w:val="en-AU"/>
              </w:rPr>
              <w:t>has been provided as confidential information</w:t>
            </w:r>
            <w:r w:rsidR="00A0465D" w:rsidRPr="00081EB9">
              <w:rPr>
                <w:iCs/>
                <w:sz w:val="20"/>
                <w:lang w:val="en-AU"/>
              </w:rPr>
              <w:t>, concerns are that this may limit the Jurisdictions</w:t>
            </w:r>
            <w:r w:rsidR="003D6E3A">
              <w:rPr>
                <w:iCs/>
                <w:sz w:val="20"/>
                <w:lang w:val="en-AU"/>
              </w:rPr>
              <w:t>’</w:t>
            </w:r>
            <w:r w:rsidR="00A0465D" w:rsidRPr="00081EB9">
              <w:rPr>
                <w:iCs/>
                <w:sz w:val="20"/>
                <w:lang w:val="en-AU"/>
              </w:rPr>
              <w:t xml:space="preserve"> capacity to monitor </w:t>
            </w:r>
            <w:r w:rsidR="002B6FB6">
              <w:rPr>
                <w:iCs/>
                <w:sz w:val="20"/>
                <w:lang w:val="en-AU"/>
              </w:rPr>
              <w:t>s</w:t>
            </w:r>
            <w:r w:rsidR="00A0465D" w:rsidRPr="00081EB9">
              <w:rPr>
                <w:iCs/>
                <w:sz w:val="20"/>
                <w:lang w:val="en-AU"/>
              </w:rPr>
              <w:t xml:space="preserve">oy leghemoglobin. </w:t>
            </w:r>
            <w:r w:rsidRPr="00081EB9">
              <w:rPr>
                <w:iCs/>
                <w:sz w:val="20"/>
                <w:lang w:val="en-AU"/>
              </w:rPr>
              <w:t xml:space="preserve"> </w:t>
            </w:r>
          </w:p>
        </w:tc>
        <w:tc>
          <w:tcPr>
            <w:tcW w:w="780" w:type="pct"/>
          </w:tcPr>
          <w:p w14:paraId="2BDDD24B" w14:textId="7F069CC9" w:rsidR="00BA2E47" w:rsidRPr="00081EB9" w:rsidRDefault="00081EB9" w:rsidP="00081EB9">
            <w:pPr>
              <w:cnfStyle w:val="000000100000" w:firstRow="0" w:lastRow="0" w:firstColumn="0" w:lastColumn="0" w:oddVBand="0" w:evenVBand="0" w:oddHBand="1" w:evenHBand="0" w:firstRowFirstColumn="0" w:firstRowLastColumn="0" w:lastRowFirstColumn="0" w:lastRowLastColumn="0"/>
              <w:rPr>
                <w:sz w:val="20"/>
                <w:lang w:val="en-AU"/>
              </w:rPr>
            </w:pPr>
            <w:r w:rsidRPr="00081EB9">
              <w:rPr>
                <w:sz w:val="20"/>
              </w:rPr>
              <w:t>Government (2)</w:t>
            </w:r>
          </w:p>
        </w:tc>
        <w:tc>
          <w:tcPr>
            <w:tcW w:w="2518" w:type="pct"/>
          </w:tcPr>
          <w:p w14:paraId="77D95279" w14:textId="53A3908E" w:rsidR="00BA2E47" w:rsidRPr="00081EB9" w:rsidRDefault="00BA2E47" w:rsidP="00584B90">
            <w:pPr>
              <w:cnfStyle w:val="000000100000" w:firstRow="0" w:lastRow="0" w:firstColumn="0" w:lastColumn="0" w:oddVBand="0" w:evenVBand="0" w:oddHBand="1" w:evenHBand="0" w:firstRowFirstColumn="0" w:firstRowLastColumn="0" w:lastRowFirstColumn="0" w:lastRowLastColumn="0"/>
              <w:rPr>
                <w:b/>
                <w:bCs/>
                <w:color w:val="FFFFFF" w:themeColor="background1"/>
                <w:sz w:val="20"/>
                <w:lang w:val="en-AU"/>
              </w:rPr>
            </w:pPr>
            <w:r w:rsidRPr="00081EB9">
              <w:rPr>
                <w:sz w:val="20"/>
                <w:lang w:val="en-AU"/>
              </w:rPr>
              <w:t xml:space="preserve">FSANZ acknowledges this issue and has provided further information under </w:t>
            </w:r>
            <w:r w:rsidR="00584B90" w:rsidRPr="00584B90">
              <w:rPr>
                <w:sz w:val="20"/>
                <w:lang w:val="en-AU"/>
              </w:rPr>
              <w:t>S</w:t>
            </w:r>
            <w:r w:rsidRPr="00584B90">
              <w:rPr>
                <w:sz w:val="20"/>
                <w:lang w:val="en-AU"/>
              </w:rPr>
              <w:t xml:space="preserve">ection </w:t>
            </w:r>
            <w:r w:rsidR="00584B90" w:rsidRPr="00584B90">
              <w:rPr>
                <w:sz w:val="20"/>
                <w:lang w:val="en-AU"/>
              </w:rPr>
              <w:t>3.1.2</w:t>
            </w:r>
            <w:r w:rsidR="00584B90">
              <w:rPr>
                <w:sz w:val="20"/>
                <w:lang w:val="en-AU"/>
              </w:rPr>
              <w:t xml:space="preserve"> </w:t>
            </w:r>
            <w:r w:rsidR="00584B90">
              <w:rPr>
                <w:i/>
                <w:sz w:val="20"/>
                <w:lang w:val="en-AU"/>
              </w:rPr>
              <w:t>Identifying levels of soy leghemoglobin in food</w:t>
            </w:r>
            <w:r w:rsidRPr="00081EB9">
              <w:rPr>
                <w:b/>
                <w:bCs/>
                <w:sz w:val="20"/>
                <w:lang w:val="en-AU"/>
              </w:rPr>
              <w:t>.</w:t>
            </w:r>
          </w:p>
        </w:tc>
      </w:tr>
      <w:tr w:rsidR="00474E57" w:rsidRPr="00BA2E47" w14:paraId="7E4F29AF" w14:textId="77777777" w:rsidTr="0052545E">
        <w:tc>
          <w:tcPr>
            <w:cnfStyle w:val="001000000000" w:firstRow="0" w:lastRow="0" w:firstColumn="1" w:lastColumn="0" w:oddVBand="0" w:evenVBand="0" w:oddHBand="0" w:evenHBand="0" w:firstRowFirstColumn="0" w:firstRowLastColumn="0" w:lastRowFirstColumn="0" w:lastRowLastColumn="0"/>
            <w:tcW w:w="145" w:type="pct"/>
            <w:vAlign w:val="center"/>
          </w:tcPr>
          <w:p w14:paraId="17075E17" w14:textId="77777777" w:rsidR="00474E57" w:rsidRPr="006361EE" w:rsidRDefault="00474E57" w:rsidP="0052545E">
            <w:pPr>
              <w:spacing w:before="240" w:after="240"/>
              <w:ind w:left="29" w:right="-50" w:firstLine="2"/>
              <w:jc w:val="center"/>
              <w:rPr>
                <w:rFonts w:cs="Arial"/>
                <w:b w:val="0"/>
                <w:bCs w:val="0"/>
                <w:sz w:val="20"/>
                <w:szCs w:val="20"/>
              </w:rPr>
            </w:pPr>
          </w:p>
        </w:tc>
        <w:tc>
          <w:tcPr>
            <w:tcW w:w="4855" w:type="pct"/>
            <w:gridSpan w:val="3"/>
          </w:tcPr>
          <w:p w14:paraId="10B15679" w14:textId="77777777" w:rsidR="00474E57" w:rsidRPr="00BA2E47" w:rsidRDefault="00474E57" w:rsidP="003B63CB">
            <w:pPr>
              <w:spacing w:before="240" w:after="240"/>
              <w:jc w:val="center"/>
              <w:cnfStyle w:val="000000000000" w:firstRow="0" w:lastRow="0" w:firstColumn="0" w:lastColumn="0" w:oddVBand="0" w:evenVBand="0" w:oddHBand="0" w:evenHBand="0" w:firstRowFirstColumn="0" w:firstRowLastColumn="0" w:lastRowFirstColumn="0" w:lastRowLastColumn="0"/>
              <w:rPr>
                <w:rFonts w:cs="Arial"/>
                <w:sz w:val="20"/>
                <w:szCs w:val="20"/>
                <w:lang w:val="en-AU"/>
              </w:rPr>
            </w:pPr>
            <w:r w:rsidRPr="006361EE">
              <w:rPr>
                <w:rFonts w:cs="Arial"/>
                <w:b/>
                <w:iCs/>
                <w:sz w:val="24"/>
                <w:szCs w:val="20"/>
                <w:lang w:val="en-AU"/>
              </w:rPr>
              <w:t>L</w:t>
            </w:r>
            <w:r>
              <w:rPr>
                <w:rFonts w:cs="Arial"/>
                <w:b/>
                <w:iCs/>
                <w:sz w:val="24"/>
                <w:szCs w:val="20"/>
                <w:lang w:val="en-AU"/>
              </w:rPr>
              <w:t>abelling of soy leghemoglobin as an ingredient</w:t>
            </w:r>
          </w:p>
        </w:tc>
      </w:tr>
      <w:tr w:rsidR="00AF19A9" w:rsidRPr="00BA2E47" w14:paraId="42D8E2DA" w14:textId="77777777" w:rsidTr="00544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6F2DD446" w14:textId="16883599" w:rsidR="00BA2E47" w:rsidRPr="006361EE" w:rsidRDefault="00BA2E47" w:rsidP="0052545E">
            <w:pPr>
              <w:pStyle w:val="ListParagraph"/>
              <w:numPr>
                <w:ilvl w:val="0"/>
                <w:numId w:val="8"/>
              </w:numPr>
              <w:ind w:left="29" w:right="-50" w:firstLine="2"/>
              <w:jc w:val="center"/>
              <w:rPr>
                <w:rFonts w:cs="Arial"/>
                <w:b w:val="0"/>
                <w:bCs w:val="0"/>
                <w:sz w:val="20"/>
                <w:szCs w:val="20"/>
              </w:rPr>
            </w:pPr>
          </w:p>
        </w:tc>
        <w:tc>
          <w:tcPr>
            <w:tcW w:w="1557" w:type="pct"/>
          </w:tcPr>
          <w:p w14:paraId="4C356BE7" w14:textId="4D09FE16" w:rsidR="00BA2E47" w:rsidRPr="00081EB9" w:rsidRDefault="00765CE1" w:rsidP="00081EB9">
            <w:pPr>
              <w:cnfStyle w:val="000000100000" w:firstRow="0" w:lastRow="0" w:firstColumn="0" w:lastColumn="0" w:oddVBand="0" w:evenVBand="0" w:oddHBand="1" w:evenHBand="0" w:firstRowFirstColumn="0" w:firstRowLastColumn="0" w:lastRowFirstColumn="0" w:lastRowLastColumn="0"/>
              <w:rPr>
                <w:sz w:val="20"/>
                <w:szCs w:val="20"/>
                <w:lang w:val="en-AU"/>
              </w:rPr>
            </w:pPr>
            <w:r>
              <w:rPr>
                <w:sz w:val="20"/>
                <w:szCs w:val="20"/>
                <w:lang w:val="en-AU"/>
              </w:rPr>
              <w:t xml:space="preserve">Concerned </w:t>
            </w:r>
            <w:r w:rsidR="00BA2E47" w:rsidRPr="00081EB9">
              <w:rPr>
                <w:sz w:val="20"/>
                <w:szCs w:val="20"/>
                <w:lang w:val="en-AU"/>
              </w:rPr>
              <w:t xml:space="preserve">how the ingredient will be labelled (as ‘soy leghemoglobin’ or ‘LegH Prep’), given that ‘LegH Prep’ does not indicate the presence of soy protein. </w:t>
            </w:r>
          </w:p>
        </w:tc>
        <w:tc>
          <w:tcPr>
            <w:tcW w:w="780" w:type="pct"/>
          </w:tcPr>
          <w:p w14:paraId="38795B1B" w14:textId="0EEAB05D" w:rsidR="00BA2E47" w:rsidRPr="00081EB9" w:rsidRDefault="00081EB9" w:rsidP="00081EB9">
            <w:pPr>
              <w:cnfStyle w:val="000000100000" w:firstRow="0" w:lastRow="0" w:firstColumn="0" w:lastColumn="0" w:oddVBand="0" w:evenVBand="0" w:oddHBand="1" w:evenHBand="0" w:firstRowFirstColumn="0" w:firstRowLastColumn="0" w:lastRowFirstColumn="0" w:lastRowLastColumn="0"/>
              <w:rPr>
                <w:sz w:val="20"/>
                <w:szCs w:val="20"/>
                <w:lang w:val="en-AU"/>
              </w:rPr>
            </w:pPr>
            <w:r w:rsidRPr="00081EB9">
              <w:rPr>
                <w:sz w:val="20"/>
                <w:szCs w:val="20"/>
              </w:rPr>
              <w:t>Government (1);</w:t>
            </w:r>
            <w:r w:rsidRPr="00081EB9">
              <w:rPr>
                <w:sz w:val="20"/>
                <w:szCs w:val="20"/>
                <w:lang w:val="en-AU"/>
              </w:rPr>
              <w:t xml:space="preserve"> </w:t>
            </w:r>
            <w:r w:rsidRPr="00081EB9">
              <w:rPr>
                <w:sz w:val="20"/>
                <w:szCs w:val="20"/>
              </w:rPr>
              <w:t>Not for Profit (1)</w:t>
            </w:r>
          </w:p>
        </w:tc>
        <w:tc>
          <w:tcPr>
            <w:tcW w:w="2518" w:type="pct"/>
          </w:tcPr>
          <w:p w14:paraId="3E179D92" w14:textId="7528E475" w:rsidR="00D97538" w:rsidRDefault="00D97538" w:rsidP="00081EB9">
            <w:pPr>
              <w:cnfStyle w:val="000000100000" w:firstRow="0" w:lastRow="0" w:firstColumn="0" w:lastColumn="0" w:oddVBand="0" w:evenVBand="0" w:oddHBand="1" w:evenHBand="0" w:firstRowFirstColumn="0" w:firstRowLastColumn="0" w:lastRowFirstColumn="0" w:lastRowLastColumn="0"/>
              <w:rPr>
                <w:sz w:val="20"/>
                <w:szCs w:val="20"/>
                <w:lang w:val="en-AU"/>
              </w:rPr>
            </w:pPr>
            <w:r>
              <w:rPr>
                <w:sz w:val="20"/>
                <w:szCs w:val="20"/>
                <w:lang w:val="en-AU"/>
              </w:rPr>
              <w:t xml:space="preserve">Existing requirements for </w:t>
            </w:r>
            <w:r w:rsidR="00765CE1">
              <w:rPr>
                <w:sz w:val="20"/>
                <w:szCs w:val="20"/>
                <w:lang w:val="en-AU"/>
              </w:rPr>
              <w:t>ingredient labelling and all</w:t>
            </w:r>
            <w:r>
              <w:rPr>
                <w:sz w:val="20"/>
                <w:szCs w:val="20"/>
                <w:lang w:val="en-AU"/>
              </w:rPr>
              <w:t xml:space="preserve">ergen declarations would apply </w:t>
            </w:r>
            <w:r w:rsidR="00AA0841">
              <w:rPr>
                <w:sz w:val="20"/>
                <w:szCs w:val="20"/>
                <w:lang w:val="en-AU"/>
              </w:rPr>
              <w:t>(</w:t>
            </w:r>
            <w:r>
              <w:rPr>
                <w:sz w:val="20"/>
                <w:szCs w:val="20"/>
                <w:lang w:val="en-AU"/>
              </w:rPr>
              <w:t>refer to Section 3.2.</w:t>
            </w:r>
            <w:r w:rsidR="00765CE1">
              <w:rPr>
                <w:sz w:val="20"/>
                <w:szCs w:val="20"/>
                <w:lang w:val="en-AU"/>
              </w:rPr>
              <w:t xml:space="preserve">1 </w:t>
            </w:r>
            <w:r w:rsidR="00765CE1" w:rsidRPr="00765CE1">
              <w:rPr>
                <w:i/>
                <w:sz w:val="20"/>
                <w:szCs w:val="20"/>
                <w:lang w:val="en-AU"/>
              </w:rPr>
              <w:t>Name of ingredient</w:t>
            </w:r>
            <w:r w:rsidR="00765CE1">
              <w:rPr>
                <w:sz w:val="20"/>
                <w:szCs w:val="20"/>
                <w:lang w:val="en-AU"/>
              </w:rPr>
              <w:t xml:space="preserve"> and Sectio</w:t>
            </w:r>
            <w:r>
              <w:rPr>
                <w:sz w:val="20"/>
                <w:szCs w:val="20"/>
                <w:lang w:val="en-AU"/>
              </w:rPr>
              <w:t>n 3.2.</w:t>
            </w:r>
            <w:r w:rsidR="00765CE1">
              <w:rPr>
                <w:sz w:val="20"/>
                <w:szCs w:val="20"/>
                <w:lang w:val="en-AU"/>
              </w:rPr>
              <w:t>2</w:t>
            </w:r>
            <w:r w:rsidRPr="00765CE1">
              <w:rPr>
                <w:i/>
                <w:sz w:val="20"/>
                <w:szCs w:val="20"/>
                <w:lang w:val="en-AU"/>
              </w:rPr>
              <w:t xml:space="preserve"> </w:t>
            </w:r>
            <w:r w:rsidR="00765CE1" w:rsidRPr="00765CE1">
              <w:rPr>
                <w:i/>
                <w:sz w:val="20"/>
                <w:szCs w:val="20"/>
                <w:lang w:val="en-AU"/>
              </w:rPr>
              <w:t>Mandatory declaration of certain foods or substances in foods</w:t>
            </w:r>
            <w:r w:rsidR="00765CE1">
              <w:rPr>
                <w:sz w:val="20"/>
                <w:szCs w:val="20"/>
                <w:lang w:val="en-AU"/>
              </w:rPr>
              <w:t>).</w:t>
            </w:r>
          </w:p>
          <w:p w14:paraId="2C6536DC" w14:textId="77777777" w:rsidR="00D97538" w:rsidRDefault="00D97538" w:rsidP="00081EB9">
            <w:pPr>
              <w:cnfStyle w:val="000000100000" w:firstRow="0" w:lastRow="0" w:firstColumn="0" w:lastColumn="0" w:oddVBand="0" w:evenVBand="0" w:oddHBand="1" w:evenHBand="0" w:firstRowFirstColumn="0" w:firstRowLastColumn="0" w:lastRowFirstColumn="0" w:lastRowLastColumn="0"/>
              <w:rPr>
                <w:sz w:val="20"/>
                <w:szCs w:val="20"/>
                <w:lang w:val="en-AU"/>
              </w:rPr>
            </w:pPr>
          </w:p>
          <w:p w14:paraId="22A8DAA6" w14:textId="3BCE6D13" w:rsidR="00BA2E47" w:rsidRPr="00081EB9" w:rsidRDefault="005F7D81" w:rsidP="00081EB9">
            <w:pPr>
              <w:cnfStyle w:val="000000100000" w:firstRow="0" w:lastRow="0" w:firstColumn="0" w:lastColumn="0" w:oddVBand="0" w:evenVBand="0" w:oddHBand="1" w:evenHBand="0" w:firstRowFirstColumn="0" w:firstRowLastColumn="0" w:lastRowFirstColumn="0" w:lastRowLastColumn="0"/>
              <w:rPr>
                <w:sz w:val="20"/>
                <w:szCs w:val="20"/>
                <w:lang w:val="en-AU"/>
              </w:rPr>
            </w:pPr>
            <w:r w:rsidRPr="00081EB9">
              <w:rPr>
                <w:sz w:val="20"/>
                <w:szCs w:val="20"/>
                <w:lang w:val="en-AU"/>
              </w:rPr>
              <w:t>The applicant has stated the common name of this ingredient is 'soy leghemoglobin' and that packaged food products would c</w:t>
            </w:r>
            <w:r w:rsidR="0016659E">
              <w:rPr>
                <w:sz w:val="20"/>
                <w:szCs w:val="20"/>
                <w:lang w:val="en-AU"/>
              </w:rPr>
              <w:t>arry a '</w:t>
            </w:r>
            <w:r w:rsidRPr="00081EB9">
              <w:rPr>
                <w:sz w:val="20"/>
                <w:szCs w:val="20"/>
                <w:lang w:val="en-AU"/>
              </w:rPr>
              <w:t xml:space="preserve">soy' declaration. </w:t>
            </w:r>
          </w:p>
        </w:tc>
      </w:tr>
      <w:tr w:rsidR="00AF19A9" w:rsidRPr="00BA2E47" w14:paraId="0DFDF6F1" w14:textId="77777777" w:rsidTr="005440CC">
        <w:tc>
          <w:tcPr>
            <w:cnfStyle w:val="001000000000" w:firstRow="0" w:lastRow="0" w:firstColumn="1" w:lastColumn="0" w:oddVBand="0" w:evenVBand="0" w:oddHBand="0" w:evenHBand="0" w:firstRowFirstColumn="0" w:firstRowLastColumn="0" w:lastRowFirstColumn="0" w:lastRowLastColumn="0"/>
            <w:tcW w:w="145" w:type="pct"/>
            <w:vAlign w:val="center"/>
          </w:tcPr>
          <w:p w14:paraId="7CB0FCA0" w14:textId="2D6A8EA5" w:rsidR="006361EE" w:rsidRPr="006361EE" w:rsidRDefault="006361EE" w:rsidP="0052545E">
            <w:pPr>
              <w:pStyle w:val="ListParagraph"/>
              <w:numPr>
                <w:ilvl w:val="0"/>
                <w:numId w:val="8"/>
              </w:numPr>
              <w:ind w:left="29" w:right="-50" w:firstLine="2"/>
              <w:jc w:val="center"/>
              <w:rPr>
                <w:rFonts w:cs="Arial"/>
                <w:b w:val="0"/>
                <w:bCs w:val="0"/>
                <w:sz w:val="20"/>
                <w:szCs w:val="20"/>
              </w:rPr>
            </w:pPr>
          </w:p>
        </w:tc>
        <w:tc>
          <w:tcPr>
            <w:tcW w:w="1557" w:type="pct"/>
          </w:tcPr>
          <w:p w14:paraId="2CD88115" w14:textId="389AB4C6" w:rsidR="006361EE" w:rsidRPr="00081EB9" w:rsidRDefault="006361EE" w:rsidP="00AC6256">
            <w:pPr>
              <w:cnfStyle w:val="000000000000" w:firstRow="0" w:lastRow="0" w:firstColumn="0" w:lastColumn="0" w:oddVBand="0" w:evenVBand="0" w:oddHBand="0" w:evenHBand="0" w:firstRowFirstColumn="0" w:firstRowLastColumn="0" w:lastRowFirstColumn="0" w:lastRowLastColumn="0"/>
              <w:rPr>
                <w:sz w:val="20"/>
                <w:szCs w:val="20"/>
              </w:rPr>
            </w:pPr>
            <w:r w:rsidRPr="00081EB9">
              <w:rPr>
                <w:sz w:val="20"/>
                <w:szCs w:val="20"/>
              </w:rPr>
              <w:t xml:space="preserve">Concerned this ingredient will be present below the amount required for GM labelling to apply. </w:t>
            </w:r>
          </w:p>
        </w:tc>
        <w:tc>
          <w:tcPr>
            <w:tcW w:w="780" w:type="pct"/>
          </w:tcPr>
          <w:p w14:paraId="08DCDF52" w14:textId="2776EAED" w:rsidR="006361EE" w:rsidRPr="00081EB9" w:rsidRDefault="006361EE" w:rsidP="00F32D37">
            <w:pPr>
              <w:cnfStyle w:val="000000000000" w:firstRow="0" w:lastRow="0" w:firstColumn="0" w:lastColumn="0" w:oddVBand="0" w:evenVBand="0" w:oddHBand="0" w:evenHBand="0" w:firstRowFirstColumn="0" w:firstRowLastColumn="0" w:lastRowFirstColumn="0" w:lastRowLastColumn="0"/>
              <w:rPr>
                <w:sz w:val="20"/>
                <w:szCs w:val="20"/>
              </w:rPr>
            </w:pPr>
            <w:r w:rsidRPr="00081EB9">
              <w:rPr>
                <w:sz w:val="20"/>
                <w:szCs w:val="20"/>
              </w:rPr>
              <w:t>Consumer submitter (</w:t>
            </w:r>
            <w:r w:rsidR="00F32D37">
              <w:rPr>
                <w:sz w:val="20"/>
                <w:szCs w:val="20"/>
              </w:rPr>
              <w:t>1)</w:t>
            </w:r>
          </w:p>
        </w:tc>
        <w:tc>
          <w:tcPr>
            <w:tcW w:w="2518" w:type="pct"/>
          </w:tcPr>
          <w:p w14:paraId="1C6FF45B" w14:textId="01B2A0B7" w:rsidR="006361EE" w:rsidRPr="00081EB9" w:rsidRDefault="006361EE" w:rsidP="00081EB9">
            <w:pPr>
              <w:cnfStyle w:val="000000000000" w:firstRow="0" w:lastRow="0" w:firstColumn="0" w:lastColumn="0" w:oddVBand="0" w:evenVBand="0" w:oddHBand="0" w:evenHBand="0" w:firstRowFirstColumn="0" w:firstRowLastColumn="0" w:lastRowFirstColumn="0" w:lastRowLastColumn="0"/>
              <w:rPr>
                <w:sz w:val="20"/>
                <w:szCs w:val="20"/>
              </w:rPr>
            </w:pPr>
            <w:r w:rsidRPr="00081EB9">
              <w:rPr>
                <w:sz w:val="20"/>
                <w:szCs w:val="20"/>
              </w:rPr>
              <w:t>If approved, soy leghemoglobin is an ingredient in a food for sale</w:t>
            </w:r>
            <w:r w:rsidR="00202711">
              <w:rPr>
                <w:sz w:val="20"/>
                <w:szCs w:val="20"/>
              </w:rPr>
              <w:t xml:space="preserve"> </w:t>
            </w:r>
            <w:r w:rsidR="00202711" w:rsidRPr="00202711">
              <w:rPr>
                <w:sz w:val="20"/>
                <w:szCs w:val="20"/>
              </w:rPr>
              <w:t xml:space="preserve">(refer to </w:t>
            </w:r>
            <w:r w:rsidR="00475844" w:rsidRPr="00202711">
              <w:rPr>
                <w:sz w:val="20"/>
                <w:szCs w:val="20"/>
              </w:rPr>
              <w:t xml:space="preserve">Section </w:t>
            </w:r>
            <w:r w:rsidR="00202711" w:rsidRPr="00202711">
              <w:rPr>
                <w:sz w:val="20"/>
                <w:szCs w:val="20"/>
              </w:rPr>
              <w:t xml:space="preserve">3.2.3 </w:t>
            </w:r>
            <w:r w:rsidR="00202711" w:rsidRPr="001B5652">
              <w:rPr>
                <w:i/>
                <w:sz w:val="20"/>
                <w:szCs w:val="20"/>
              </w:rPr>
              <w:t>Labelling as ‘genetically modified’</w:t>
            </w:r>
            <w:r w:rsidR="00202711">
              <w:rPr>
                <w:sz w:val="20"/>
                <w:szCs w:val="20"/>
              </w:rPr>
              <w:t>)</w:t>
            </w:r>
            <w:r w:rsidRPr="00081EB9">
              <w:rPr>
                <w:sz w:val="20"/>
                <w:szCs w:val="20"/>
              </w:rPr>
              <w:t>. This requirement is not subject</w:t>
            </w:r>
            <w:r w:rsidR="00474E57">
              <w:rPr>
                <w:sz w:val="20"/>
                <w:szCs w:val="20"/>
              </w:rPr>
              <w:t xml:space="preserve"> to a </w:t>
            </w:r>
            <w:r w:rsidRPr="00081EB9">
              <w:rPr>
                <w:sz w:val="20"/>
                <w:szCs w:val="20"/>
              </w:rPr>
              <w:t>certain threshold.</w:t>
            </w:r>
            <w:r w:rsidR="00202711">
              <w:rPr>
                <w:sz w:val="20"/>
                <w:szCs w:val="20"/>
              </w:rPr>
              <w:t xml:space="preserve"> </w:t>
            </w:r>
          </w:p>
        </w:tc>
      </w:tr>
      <w:tr w:rsidR="00AF19A9" w:rsidRPr="00BA2E47" w14:paraId="738CD53A" w14:textId="77777777" w:rsidTr="00544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21050CD3" w14:textId="144BD367" w:rsidR="0010542D" w:rsidRPr="006361EE" w:rsidRDefault="0010542D" w:rsidP="0052545E">
            <w:pPr>
              <w:pStyle w:val="ListParagraph"/>
              <w:numPr>
                <w:ilvl w:val="0"/>
                <w:numId w:val="8"/>
              </w:numPr>
              <w:ind w:left="29" w:right="-50" w:firstLine="2"/>
              <w:jc w:val="center"/>
              <w:rPr>
                <w:rFonts w:cs="Arial"/>
                <w:b w:val="0"/>
                <w:bCs w:val="0"/>
                <w:sz w:val="20"/>
                <w:szCs w:val="20"/>
              </w:rPr>
            </w:pPr>
          </w:p>
        </w:tc>
        <w:tc>
          <w:tcPr>
            <w:tcW w:w="1557" w:type="pct"/>
          </w:tcPr>
          <w:p w14:paraId="59C9BE03" w14:textId="55B12232" w:rsidR="0010542D" w:rsidRPr="0060697A" w:rsidRDefault="0010542D" w:rsidP="0060697A">
            <w:pPr>
              <w:cnfStyle w:val="000000100000" w:firstRow="0" w:lastRow="0" w:firstColumn="0" w:lastColumn="0" w:oddVBand="0" w:evenVBand="0" w:oddHBand="1" w:evenHBand="0" w:firstRowFirstColumn="0" w:firstRowLastColumn="0" w:lastRowFirstColumn="0" w:lastRowLastColumn="0"/>
              <w:rPr>
                <w:sz w:val="20"/>
              </w:rPr>
            </w:pPr>
            <w:r w:rsidRPr="0060697A">
              <w:rPr>
                <w:sz w:val="20"/>
              </w:rPr>
              <w:t>Suggest an education campaign be undertaken to inform consumers of the nature of the ingredient and the role it plays in meat analogues.</w:t>
            </w:r>
          </w:p>
        </w:tc>
        <w:tc>
          <w:tcPr>
            <w:tcW w:w="780" w:type="pct"/>
          </w:tcPr>
          <w:p w14:paraId="2B8B5E3F" w14:textId="583ACECA" w:rsidR="0010542D" w:rsidRPr="0060697A" w:rsidRDefault="0060697A" w:rsidP="0060697A">
            <w:pPr>
              <w:cnfStyle w:val="000000100000" w:firstRow="0" w:lastRow="0" w:firstColumn="0" w:lastColumn="0" w:oddVBand="0" w:evenVBand="0" w:oddHBand="1" w:evenHBand="0" w:firstRowFirstColumn="0" w:firstRowLastColumn="0" w:lastRowFirstColumn="0" w:lastRowLastColumn="0"/>
              <w:rPr>
                <w:sz w:val="20"/>
              </w:rPr>
            </w:pPr>
            <w:r w:rsidRPr="0060697A">
              <w:rPr>
                <w:sz w:val="20"/>
                <w:szCs w:val="20"/>
              </w:rPr>
              <w:t>Not for profit (1)</w:t>
            </w:r>
          </w:p>
        </w:tc>
        <w:tc>
          <w:tcPr>
            <w:tcW w:w="2518" w:type="pct"/>
          </w:tcPr>
          <w:p w14:paraId="1CAB529B" w14:textId="11EBCECC" w:rsidR="0010542D" w:rsidRPr="0060697A" w:rsidRDefault="005122AC" w:rsidP="0026717A">
            <w:pPr>
              <w:cnfStyle w:val="000000100000" w:firstRow="0" w:lastRow="0" w:firstColumn="0" w:lastColumn="0" w:oddVBand="0" w:evenVBand="0" w:oddHBand="1" w:evenHBand="0" w:firstRowFirstColumn="0" w:firstRowLastColumn="0" w:lastRowFirstColumn="0" w:lastRowLastColumn="0"/>
              <w:rPr>
                <w:sz w:val="20"/>
              </w:rPr>
            </w:pPr>
            <w:r>
              <w:rPr>
                <w:sz w:val="20"/>
              </w:rPr>
              <w:t>FSANZ considers e</w:t>
            </w:r>
            <w:r w:rsidR="00E9136D">
              <w:rPr>
                <w:sz w:val="20"/>
              </w:rPr>
              <w:t>xisting Code requirements for allergen declarations, ingredient labelling and for labelling of GM foods w</w:t>
            </w:r>
            <w:r w:rsidR="00923B48">
              <w:rPr>
                <w:sz w:val="20"/>
              </w:rPr>
              <w:t>ill</w:t>
            </w:r>
            <w:r w:rsidR="00E9136D">
              <w:rPr>
                <w:sz w:val="20"/>
              </w:rPr>
              <w:t xml:space="preserve"> </w:t>
            </w:r>
            <w:r w:rsidR="005936EC">
              <w:rPr>
                <w:sz w:val="20"/>
              </w:rPr>
              <w:t xml:space="preserve">apply to the ingredient which will </w:t>
            </w:r>
            <w:r w:rsidR="00E9136D">
              <w:rPr>
                <w:sz w:val="20"/>
              </w:rPr>
              <w:t xml:space="preserve">provide information for consumers to make informed, safe choices.  </w:t>
            </w:r>
          </w:p>
        </w:tc>
      </w:tr>
      <w:tr w:rsidR="0060697A" w:rsidRPr="00BA2E47" w14:paraId="1BB51F4D" w14:textId="77777777" w:rsidTr="0052545E">
        <w:tc>
          <w:tcPr>
            <w:cnfStyle w:val="001000000000" w:firstRow="0" w:lastRow="0" w:firstColumn="1" w:lastColumn="0" w:oddVBand="0" w:evenVBand="0" w:oddHBand="0" w:evenHBand="0" w:firstRowFirstColumn="0" w:firstRowLastColumn="0" w:lastRowFirstColumn="0" w:lastRowLastColumn="0"/>
            <w:tcW w:w="145" w:type="pct"/>
            <w:vAlign w:val="center"/>
          </w:tcPr>
          <w:p w14:paraId="04EC6ECC" w14:textId="77777777" w:rsidR="0060697A" w:rsidRPr="00174FA7" w:rsidRDefault="0060697A" w:rsidP="0052545E">
            <w:pPr>
              <w:spacing w:before="240" w:after="240"/>
              <w:ind w:left="29" w:right="-50" w:firstLine="2"/>
              <w:jc w:val="center"/>
              <w:rPr>
                <w:rFonts w:cs="Arial"/>
                <w:sz w:val="20"/>
                <w:szCs w:val="20"/>
              </w:rPr>
            </w:pPr>
          </w:p>
        </w:tc>
        <w:tc>
          <w:tcPr>
            <w:tcW w:w="4855" w:type="pct"/>
            <w:gridSpan w:val="3"/>
          </w:tcPr>
          <w:p w14:paraId="2B4F4920" w14:textId="55CB96CB" w:rsidR="0060697A" w:rsidRDefault="0060697A" w:rsidP="0060697A">
            <w:pPr>
              <w:spacing w:before="240" w:after="240"/>
              <w:ind w:left="87" w:hanging="87"/>
              <w:jc w:val="center"/>
              <w:cnfStyle w:val="000000000000" w:firstRow="0" w:lastRow="0" w:firstColumn="0" w:lastColumn="0" w:oddVBand="0" w:evenVBand="0" w:oddHBand="0" w:evenHBand="0" w:firstRowFirstColumn="0" w:firstRowLastColumn="0" w:lastRowFirstColumn="0" w:lastRowLastColumn="0"/>
              <w:rPr>
                <w:sz w:val="20"/>
              </w:rPr>
            </w:pPr>
            <w:r w:rsidRPr="00174FA7">
              <w:rPr>
                <w:b/>
                <w:sz w:val="24"/>
              </w:rPr>
              <w:t>Safety and Technical data – GM assessment</w:t>
            </w:r>
          </w:p>
        </w:tc>
      </w:tr>
      <w:tr w:rsidR="00A8170D" w:rsidRPr="00BA2E47" w14:paraId="27166E10" w14:textId="77777777" w:rsidTr="00525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6CFFBDDA" w14:textId="77777777" w:rsidR="00A8170D" w:rsidRPr="00174FA7" w:rsidRDefault="00A8170D" w:rsidP="0052545E">
            <w:pPr>
              <w:spacing w:before="240" w:after="240"/>
              <w:ind w:left="29" w:right="-50" w:firstLine="2"/>
              <w:jc w:val="center"/>
              <w:rPr>
                <w:rFonts w:cs="Arial"/>
                <w:sz w:val="20"/>
                <w:szCs w:val="20"/>
              </w:rPr>
            </w:pPr>
          </w:p>
        </w:tc>
        <w:tc>
          <w:tcPr>
            <w:tcW w:w="4855" w:type="pct"/>
            <w:gridSpan w:val="3"/>
          </w:tcPr>
          <w:p w14:paraId="2A234B8F" w14:textId="33D10C90" w:rsidR="00A8170D" w:rsidRPr="00A8170D" w:rsidRDefault="00A8170D" w:rsidP="00A8170D">
            <w:pPr>
              <w:spacing w:before="240" w:after="240"/>
              <w:cnfStyle w:val="000000100000" w:firstRow="0" w:lastRow="0" w:firstColumn="0" w:lastColumn="0" w:oddVBand="0" w:evenVBand="0" w:oddHBand="1" w:evenHBand="0" w:firstRowFirstColumn="0" w:firstRowLastColumn="0" w:lastRowFirstColumn="0" w:lastRowLastColumn="0"/>
              <w:rPr>
                <w:sz w:val="20"/>
                <w:szCs w:val="20"/>
              </w:rPr>
            </w:pPr>
            <w:r w:rsidRPr="00A8170D">
              <w:rPr>
                <w:sz w:val="20"/>
                <w:szCs w:val="20"/>
              </w:rPr>
              <w:t xml:space="preserve">Several submissions relating to the </w:t>
            </w:r>
            <w:r>
              <w:rPr>
                <w:sz w:val="20"/>
                <w:szCs w:val="20"/>
              </w:rPr>
              <w:t>GM</w:t>
            </w:r>
            <w:r w:rsidRPr="00A8170D">
              <w:rPr>
                <w:sz w:val="20"/>
                <w:szCs w:val="20"/>
              </w:rPr>
              <w:t xml:space="preserve"> assessment were received. No new or substantive scientific evidence was provided that would change the conclusions of FSANZ’s evaluation of the safety of soy leghemoglobin</w:t>
            </w:r>
            <w:r>
              <w:rPr>
                <w:sz w:val="20"/>
                <w:szCs w:val="20"/>
              </w:rPr>
              <w:t xml:space="preserve"> in the form of LegH Prep.</w:t>
            </w:r>
          </w:p>
        </w:tc>
      </w:tr>
      <w:tr w:rsidR="00AF19A9" w:rsidRPr="00BA2E47" w14:paraId="24D2D30C" w14:textId="77777777" w:rsidTr="005440CC">
        <w:tc>
          <w:tcPr>
            <w:cnfStyle w:val="001000000000" w:firstRow="0" w:lastRow="0" w:firstColumn="1" w:lastColumn="0" w:oddVBand="0" w:evenVBand="0" w:oddHBand="0" w:evenHBand="0" w:firstRowFirstColumn="0" w:firstRowLastColumn="0" w:lastRowFirstColumn="0" w:lastRowLastColumn="0"/>
            <w:tcW w:w="145" w:type="pct"/>
            <w:vAlign w:val="center"/>
          </w:tcPr>
          <w:p w14:paraId="66857BE0" w14:textId="77777777" w:rsidR="0010542D" w:rsidRPr="006361EE" w:rsidRDefault="0010542D" w:rsidP="0052545E">
            <w:pPr>
              <w:pStyle w:val="ListParagraph"/>
              <w:numPr>
                <w:ilvl w:val="0"/>
                <w:numId w:val="8"/>
              </w:numPr>
              <w:ind w:left="29" w:right="-50" w:firstLine="2"/>
              <w:jc w:val="center"/>
              <w:rPr>
                <w:rFonts w:cs="Arial"/>
                <w:b w:val="0"/>
                <w:bCs w:val="0"/>
                <w:sz w:val="20"/>
                <w:szCs w:val="20"/>
              </w:rPr>
            </w:pPr>
          </w:p>
        </w:tc>
        <w:tc>
          <w:tcPr>
            <w:tcW w:w="1557" w:type="pct"/>
          </w:tcPr>
          <w:p w14:paraId="29EE1EC9" w14:textId="1F35791E" w:rsidR="0010542D" w:rsidRPr="0060697A" w:rsidRDefault="00174FA7" w:rsidP="00F2573D">
            <w:pPr>
              <w:spacing w:before="60"/>
              <w:cnfStyle w:val="000000000000" w:firstRow="0" w:lastRow="0" w:firstColumn="0" w:lastColumn="0" w:oddVBand="0" w:evenVBand="0" w:oddHBand="0" w:evenHBand="0" w:firstRowFirstColumn="0" w:firstRowLastColumn="0" w:lastRowFirstColumn="0" w:lastRowLastColumn="0"/>
              <w:rPr>
                <w:sz w:val="20"/>
                <w:szCs w:val="20"/>
              </w:rPr>
            </w:pPr>
            <w:r w:rsidRPr="0060697A">
              <w:rPr>
                <w:sz w:val="20"/>
                <w:szCs w:val="20"/>
              </w:rPr>
              <w:t xml:space="preserve">Soy leghemoglobin and the endogenous </w:t>
            </w:r>
            <w:r w:rsidRPr="0060697A">
              <w:rPr>
                <w:i/>
                <w:sz w:val="20"/>
                <w:szCs w:val="20"/>
              </w:rPr>
              <w:t>Pichia pastoris</w:t>
            </w:r>
            <w:r w:rsidRPr="0060697A">
              <w:rPr>
                <w:sz w:val="20"/>
                <w:szCs w:val="20"/>
              </w:rPr>
              <w:t xml:space="preserve"> proteins have not been in the Australian and New Zealand food supply before and the safety assessment has not been adequate to address these issues.</w:t>
            </w:r>
          </w:p>
        </w:tc>
        <w:tc>
          <w:tcPr>
            <w:tcW w:w="780" w:type="pct"/>
          </w:tcPr>
          <w:p w14:paraId="37527AB8" w14:textId="14A409DD" w:rsidR="0060697A" w:rsidRDefault="0060697A" w:rsidP="00F2573D">
            <w:pPr>
              <w:spacing w:before="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Primary production organisation (2); </w:t>
            </w:r>
            <w:r w:rsidRPr="0060697A">
              <w:rPr>
                <w:sz w:val="20"/>
                <w:szCs w:val="20"/>
              </w:rPr>
              <w:t>Not for profit (1)</w:t>
            </w:r>
            <w:r>
              <w:rPr>
                <w:sz w:val="20"/>
                <w:szCs w:val="20"/>
              </w:rPr>
              <w:t>;</w:t>
            </w:r>
            <w:r w:rsidR="00081EB9" w:rsidRPr="0060697A">
              <w:rPr>
                <w:sz w:val="20"/>
                <w:szCs w:val="20"/>
              </w:rPr>
              <w:t xml:space="preserve"> </w:t>
            </w:r>
          </w:p>
          <w:p w14:paraId="7722506B" w14:textId="63884DD3" w:rsidR="0060697A" w:rsidRDefault="0060697A" w:rsidP="0060697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Individual submitters (10);</w:t>
            </w:r>
          </w:p>
          <w:p w14:paraId="2F1FD9C4" w14:textId="2F687187" w:rsidR="0010542D" w:rsidRPr="0060697A" w:rsidRDefault="0060697A" w:rsidP="0060697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Consumer organisations (6);</w:t>
            </w:r>
            <w:r w:rsidR="00174FA7" w:rsidRPr="0060697A">
              <w:rPr>
                <w:sz w:val="20"/>
                <w:szCs w:val="20"/>
              </w:rPr>
              <w:t xml:space="preserve"> </w:t>
            </w:r>
            <w:r w:rsidR="00081EB9" w:rsidRPr="0060697A">
              <w:rPr>
                <w:sz w:val="20"/>
                <w:szCs w:val="20"/>
              </w:rPr>
              <w:t>Government (2)</w:t>
            </w:r>
          </w:p>
        </w:tc>
        <w:tc>
          <w:tcPr>
            <w:tcW w:w="2518" w:type="pct"/>
          </w:tcPr>
          <w:p w14:paraId="59B60DCA" w14:textId="109216DD" w:rsidR="0010542D" w:rsidRPr="0060697A" w:rsidRDefault="00174FA7" w:rsidP="00F2573D">
            <w:pPr>
              <w:spacing w:before="60" w:after="120"/>
              <w:cnfStyle w:val="000000000000" w:firstRow="0" w:lastRow="0" w:firstColumn="0" w:lastColumn="0" w:oddVBand="0" w:evenVBand="0" w:oddHBand="0" w:evenHBand="0" w:firstRowFirstColumn="0" w:firstRowLastColumn="0" w:lastRowFirstColumn="0" w:lastRowLastColumn="0"/>
              <w:rPr>
                <w:sz w:val="20"/>
                <w:szCs w:val="20"/>
              </w:rPr>
            </w:pPr>
            <w:r w:rsidRPr="0060697A">
              <w:rPr>
                <w:sz w:val="20"/>
                <w:szCs w:val="20"/>
              </w:rPr>
              <w:t>The approach used by FSANZ to assess the safety of a GM food is based on core principles established by the Codex Alimentarius Commission (Codex 2009). This approach includes protocols to assess the potential allergenicity and toxicity of new proteins. Since 2003, the assessment protocol</w:t>
            </w:r>
            <w:r w:rsidRPr="0060697A" w:rsidDel="0048691E">
              <w:rPr>
                <w:sz w:val="20"/>
                <w:szCs w:val="20"/>
              </w:rPr>
              <w:t xml:space="preserve"> </w:t>
            </w:r>
            <w:r w:rsidR="0048691E">
              <w:rPr>
                <w:sz w:val="20"/>
                <w:szCs w:val="20"/>
              </w:rPr>
              <w:t>adopted</w:t>
            </w:r>
            <w:r w:rsidR="0048691E" w:rsidRPr="0060697A">
              <w:rPr>
                <w:sz w:val="20"/>
                <w:szCs w:val="20"/>
              </w:rPr>
              <w:t xml:space="preserve"> </w:t>
            </w:r>
            <w:r w:rsidRPr="0060697A">
              <w:rPr>
                <w:sz w:val="20"/>
                <w:szCs w:val="20"/>
              </w:rPr>
              <w:t xml:space="preserve">by Codex has been subject to scientific scrutiny and has proven to be a robust approach for food safety assessments. Thus it has been widely adopted and implemented around the world. FSANZ applied this approach, particularly for the assessment of new proteins, to the assessment of the LegH </w:t>
            </w:r>
            <w:r w:rsidR="005B5CD3">
              <w:rPr>
                <w:sz w:val="20"/>
                <w:szCs w:val="20"/>
              </w:rPr>
              <w:t>P</w:t>
            </w:r>
            <w:r w:rsidR="005B5CD3" w:rsidRPr="0060697A">
              <w:rPr>
                <w:sz w:val="20"/>
                <w:szCs w:val="20"/>
              </w:rPr>
              <w:t>rep</w:t>
            </w:r>
            <w:r w:rsidRPr="0060697A">
              <w:rPr>
                <w:sz w:val="20"/>
                <w:szCs w:val="20"/>
              </w:rPr>
              <w:t xml:space="preserve">. Consumers can be confident that GM foods assessed under the protocol and approved for food use are </w:t>
            </w:r>
            <w:r w:rsidR="009A4F6C">
              <w:rPr>
                <w:sz w:val="20"/>
                <w:szCs w:val="20"/>
              </w:rPr>
              <w:t>s</w:t>
            </w:r>
            <w:r w:rsidRPr="0060697A">
              <w:rPr>
                <w:sz w:val="20"/>
                <w:szCs w:val="20"/>
              </w:rPr>
              <w:t>afe.</w:t>
            </w:r>
          </w:p>
          <w:p w14:paraId="31969627" w14:textId="77777777" w:rsidR="00174FA7" w:rsidRPr="0060697A" w:rsidRDefault="00174FA7" w:rsidP="0060697A">
            <w:pPr>
              <w:cnfStyle w:val="000000000000" w:firstRow="0" w:lastRow="0" w:firstColumn="0" w:lastColumn="0" w:oddVBand="0" w:evenVBand="0" w:oddHBand="0" w:evenHBand="0" w:firstRowFirstColumn="0" w:firstRowLastColumn="0" w:lastRowFirstColumn="0" w:lastRowLastColumn="0"/>
              <w:rPr>
                <w:b/>
                <w:sz w:val="20"/>
                <w:szCs w:val="20"/>
              </w:rPr>
            </w:pPr>
            <w:r w:rsidRPr="0060697A">
              <w:rPr>
                <w:b/>
                <w:sz w:val="20"/>
                <w:szCs w:val="20"/>
              </w:rPr>
              <w:t>Safety of Pichia proteins</w:t>
            </w:r>
          </w:p>
          <w:p w14:paraId="694CD392" w14:textId="54CB01E2" w:rsidR="00174FA7" w:rsidRPr="00F2573D" w:rsidRDefault="00174FA7" w:rsidP="00F2573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60697A">
              <w:rPr>
                <w:sz w:val="20"/>
                <w:szCs w:val="20"/>
              </w:rPr>
              <w:t xml:space="preserve">FSANZ acknowledges there is no </w:t>
            </w:r>
            <w:r w:rsidR="000B0159">
              <w:rPr>
                <w:sz w:val="20"/>
                <w:szCs w:val="20"/>
              </w:rPr>
              <w:t>evidence</w:t>
            </w:r>
            <w:r w:rsidRPr="0060697A">
              <w:rPr>
                <w:sz w:val="20"/>
                <w:szCs w:val="20"/>
              </w:rPr>
              <w:t xml:space="preserve"> of human consumption of </w:t>
            </w:r>
            <w:r w:rsidR="004F6B1E" w:rsidRPr="0060697A">
              <w:rPr>
                <w:sz w:val="20"/>
                <w:szCs w:val="20"/>
              </w:rPr>
              <w:t>proteins</w:t>
            </w:r>
            <w:r w:rsidR="000211EE">
              <w:rPr>
                <w:sz w:val="20"/>
                <w:szCs w:val="20"/>
              </w:rPr>
              <w:t xml:space="preserve"> from </w:t>
            </w:r>
            <w:r w:rsidR="000211EE" w:rsidRPr="00112AA0">
              <w:rPr>
                <w:i/>
                <w:sz w:val="20"/>
                <w:szCs w:val="20"/>
              </w:rPr>
              <w:t>Pichia</w:t>
            </w:r>
            <w:r w:rsidR="000211EE">
              <w:rPr>
                <w:sz w:val="20"/>
                <w:szCs w:val="20"/>
              </w:rPr>
              <w:t xml:space="preserve"> </w:t>
            </w:r>
            <w:r w:rsidR="00C114DD">
              <w:rPr>
                <w:sz w:val="20"/>
                <w:szCs w:val="20"/>
              </w:rPr>
              <w:t>pastoris</w:t>
            </w:r>
            <w:r w:rsidR="004F6B1E" w:rsidRPr="0060697A">
              <w:rPr>
                <w:sz w:val="20"/>
                <w:szCs w:val="20"/>
              </w:rPr>
              <w:t>.</w:t>
            </w:r>
            <w:r w:rsidRPr="0060697A">
              <w:rPr>
                <w:sz w:val="20"/>
                <w:szCs w:val="20"/>
              </w:rPr>
              <w:t xml:space="preserve"> The strain of </w:t>
            </w:r>
            <w:r w:rsidRPr="00C228FF">
              <w:rPr>
                <w:i/>
                <w:sz w:val="20"/>
                <w:szCs w:val="20"/>
              </w:rPr>
              <w:t>Pichia</w:t>
            </w:r>
            <w:r w:rsidRPr="0060697A">
              <w:rPr>
                <w:sz w:val="20"/>
                <w:szCs w:val="20"/>
              </w:rPr>
              <w:t xml:space="preserve"> used in this application has been fully characterised at the molecular level and there is no evidence of genes encoding toxic proteins or other toxin production. </w:t>
            </w:r>
            <w:r w:rsidR="008D66B3">
              <w:rPr>
                <w:sz w:val="20"/>
                <w:szCs w:val="20"/>
              </w:rPr>
              <w:t>T</w:t>
            </w:r>
            <w:r w:rsidR="000211EE" w:rsidRPr="0060697A">
              <w:rPr>
                <w:sz w:val="20"/>
                <w:szCs w:val="20"/>
              </w:rPr>
              <w:t>he</w:t>
            </w:r>
            <w:r w:rsidRPr="0060697A">
              <w:rPr>
                <w:sz w:val="20"/>
                <w:szCs w:val="20"/>
              </w:rPr>
              <w:t xml:space="preserve"> </w:t>
            </w:r>
            <w:r w:rsidR="000B0159">
              <w:rPr>
                <w:sz w:val="20"/>
                <w:szCs w:val="20"/>
              </w:rPr>
              <w:t>animal feeding</w:t>
            </w:r>
            <w:r w:rsidRPr="0060697A">
              <w:rPr>
                <w:sz w:val="20"/>
                <w:szCs w:val="20"/>
              </w:rPr>
              <w:t xml:space="preserve"> and genotoxicity studies provided by the applicant demonstrate that the </w:t>
            </w:r>
            <w:r w:rsidRPr="00C228FF">
              <w:rPr>
                <w:i/>
                <w:sz w:val="20"/>
                <w:szCs w:val="20"/>
              </w:rPr>
              <w:t xml:space="preserve">Pichia </w:t>
            </w:r>
            <w:r w:rsidRPr="0060697A">
              <w:rPr>
                <w:sz w:val="20"/>
                <w:szCs w:val="20"/>
              </w:rPr>
              <w:t xml:space="preserve">proteins present in the LegH </w:t>
            </w:r>
            <w:r w:rsidR="005B5CD3">
              <w:rPr>
                <w:sz w:val="20"/>
                <w:szCs w:val="20"/>
              </w:rPr>
              <w:t>P</w:t>
            </w:r>
            <w:r w:rsidR="005B5CD3" w:rsidRPr="0060697A">
              <w:rPr>
                <w:sz w:val="20"/>
                <w:szCs w:val="20"/>
              </w:rPr>
              <w:t xml:space="preserve">rep </w:t>
            </w:r>
            <w:r w:rsidRPr="0060697A">
              <w:rPr>
                <w:sz w:val="20"/>
                <w:szCs w:val="20"/>
              </w:rPr>
              <w:t>do not cause adverse effects.</w:t>
            </w:r>
            <w:r w:rsidR="000211EE">
              <w:rPr>
                <w:sz w:val="20"/>
                <w:szCs w:val="20"/>
              </w:rPr>
              <w:t xml:space="preserve"> </w:t>
            </w:r>
            <w:r w:rsidR="008D66B3">
              <w:rPr>
                <w:sz w:val="20"/>
                <w:szCs w:val="20"/>
              </w:rPr>
              <w:t>S</w:t>
            </w:r>
            <w:r w:rsidR="004F6B1E" w:rsidRPr="0060697A">
              <w:rPr>
                <w:sz w:val="20"/>
                <w:szCs w:val="20"/>
              </w:rPr>
              <w:t xml:space="preserve">tudies </w:t>
            </w:r>
            <w:r w:rsidR="008D66B3">
              <w:rPr>
                <w:sz w:val="20"/>
                <w:szCs w:val="20"/>
              </w:rPr>
              <w:t xml:space="preserve">involving feeding viable </w:t>
            </w:r>
            <w:r w:rsidR="008D66B3" w:rsidRPr="00C228FF">
              <w:rPr>
                <w:i/>
                <w:sz w:val="20"/>
                <w:szCs w:val="20"/>
              </w:rPr>
              <w:t>Pichia</w:t>
            </w:r>
            <w:r w:rsidR="008D66B3" w:rsidRPr="00241786">
              <w:rPr>
                <w:i/>
                <w:sz w:val="20"/>
                <w:szCs w:val="20"/>
              </w:rPr>
              <w:t xml:space="preserve"> pastoris</w:t>
            </w:r>
            <w:r w:rsidR="008D66B3">
              <w:rPr>
                <w:sz w:val="20"/>
                <w:szCs w:val="20"/>
              </w:rPr>
              <w:t xml:space="preserve"> to chicken and mice</w:t>
            </w:r>
            <w:r w:rsidR="002121AA">
              <w:rPr>
                <w:sz w:val="20"/>
                <w:szCs w:val="20"/>
              </w:rPr>
              <w:t xml:space="preserve"> </w:t>
            </w:r>
            <w:r w:rsidR="008D66B3">
              <w:rPr>
                <w:sz w:val="20"/>
                <w:szCs w:val="20"/>
              </w:rPr>
              <w:t xml:space="preserve">also </w:t>
            </w:r>
            <w:r w:rsidRPr="0060697A">
              <w:rPr>
                <w:sz w:val="20"/>
                <w:szCs w:val="20"/>
              </w:rPr>
              <w:t xml:space="preserve">show no evidence of adverse effects. </w:t>
            </w:r>
          </w:p>
          <w:p w14:paraId="4C6AB375" w14:textId="77777777" w:rsidR="00174FA7" w:rsidRPr="0060697A" w:rsidRDefault="00174FA7" w:rsidP="0060697A">
            <w:pPr>
              <w:cnfStyle w:val="000000000000" w:firstRow="0" w:lastRow="0" w:firstColumn="0" w:lastColumn="0" w:oddVBand="0" w:evenVBand="0" w:oddHBand="0" w:evenHBand="0" w:firstRowFirstColumn="0" w:firstRowLastColumn="0" w:lastRowFirstColumn="0" w:lastRowLastColumn="0"/>
              <w:rPr>
                <w:b/>
                <w:sz w:val="20"/>
                <w:szCs w:val="20"/>
              </w:rPr>
            </w:pPr>
            <w:r w:rsidRPr="0060697A">
              <w:rPr>
                <w:b/>
                <w:sz w:val="20"/>
                <w:szCs w:val="20"/>
              </w:rPr>
              <w:t>Approach used to address potential allergenicity and toxicity</w:t>
            </w:r>
          </w:p>
          <w:p w14:paraId="306BF1C4" w14:textId="24F2DD39" w:rsidR="008D66B3" w:rsidRDefault="0048691E" w:rsidP="008D66B3">
            <w:pPr>
              <w:spacing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FSANZ undertook an independent assessment of the novel proteins and concluded there were </w:t>
            </w:r>
            <w:r>
              <w:rPr>
                <w:sz w:val="20"/>
                <w:szCs w:val="20"/>
                <w:lang w:eastAsia="en-AU" w:bidi="ar-SA"/>
              </w:rPr>
              <w:t>no</w:t>
            </w:r>
            <w:r w:rsidRPr="0048691E">
              <w:rPr>
                <w:sz w:val="20"/>
                <w:szCs w:val="20"/>
                <w:lang w:eastAsia="en-AU" w:bidi="ar-SA"/>
              </w:rPr>
              <w:t xml:space="preserve"> safety concerns regarding potential allergenicity or toxicity of soy leghemoglobin or the </w:t>
            </w:r>
            <w:r w:rsidRPr="0048691E">
              <w:rPr>
                <w:i/>
                <w:sz w:val="20"/>
                <w:szCs w:val="20"/>
                <w:lang w:eastAsia="en-AU" w:bidi="ar-SA"/>
              </w:rPr>
              <w:t>Pichia</w:t>
            </w:r>
            <w:r w:rsidRPr="0048691E">
              <w:rPr>
                <w:sz w:val="20"/>
                <w:szCs w:val="20"/>
                <w:lang w:eastAsia="en-AU" w:bidi="ar-SA"/>
              </w:rPr>
              <w:t xml:space="preserve"> proteins</w:t>
            </w:r>
            <w:r w:rsidRPr="0060697A">
              <w:rPr>
                <w:sz w:val="20"/>
                <w:szCs w:val="20"/>
              </w:rPr>
              <w:t xml:space="preserve"> </w:t>
            </w:r>
            <w:r w:rsidR="00174FA7" w:rsidRPr="0060697A">
              <w:rPr>
                <w:sz w:val="20"/>
                <w:szCs w:val="20"/>
              </w:rPr>
              <w:t xml:space="preserve">This </w:t>
            </w:r>
            <w:r>
              <w:rPr>
                <w:sz w:val="20"/>
                <w:szCs w:val="20"/>
              </w:rPr>
              <w:t xml:space="preserve">assessment </w:t>
            </w:r>
            <w:r w:rsidR="00174FA7" w:rsidRPr="0060697A">
              <w:rPr>
                <w:sz w:val="20"/>
                <w:szCs w:val="20"/>
              </w:rPr>
              <w:t xml:space="preserve">included: </w:t>
            </w:r>
            <w:r w:rsidR="00446CF3">
              <w:rPr>
                <w:sz w:val="20"/>
                <w:szCs w:val="20"/>
              </w:rPr>
              <w:t xml:space="preserve">bioinformatic analyses </w:t>
            </w:r>
            <w:r w:rsidR="00446CF3" w:rsidRPr="0060697A">
              <w:rPr>
                <w:sz w:val="20"/>
                <w:szCs w:val="20"/>
              </w:rPr>
              <w:t xml:space="preserve">comparing the </w:t>
            </w:r>
            <w:r w:rsidR="00446CF3">
              <w:rPr>
                <w:sz w:val="20"/>
                <w:szCs w:val="20"/>
              </w:rPr>
              <w:t>amino acid</w:t>
            </w:r>
            <w:r w:rsidR="00446CF3" w:rsidRPr="0060697A">
              <w:rPr>
                <w:sz w:val="20"/>
                <w:szCs w:val="20"/>
              </w:rPr>
              <w:t xml:space="preserve"> sequences of soy leghemoglobin and the identified Pichia proteins to databases with known allergens and toxins</w:t>
            </w:r>
            <w:r w:rsidR="00446CF3">
              <w:rPr>
                <w:sz w:val="20"/>
                <w:szCs w:val="20"/>
              </w:rPr>
              <w:t xml:space="preserve"> </w:t>
            </w:r>
            <w:r w:rsidR="00174FA7" w:rsidRPr="0060697A">
              <w:rPr>
                <w:sz w:val="20"/>
                <w:szCs w:val="20"/>
              </w:rPr>
              <w:t>(</w:t>
            </w:r>
            <w:r w:rsidR="00174FA7" w:rsidRPr="0060697A">
              <w:rPr>
                <w:i/>
                <w:sz w:val="20"/>
                <w:szCs w:val="20"/>
              </w:rPr>
              <w:t>in silico</w:t>
            </w:r>
            <w:r w:rsidR="00174FA7" w:rsidRPr="0060697A">
              <w:rPr>
                <w:sz w:val="20"/>
                <w:szCs w:val="20"/>
              </w:rPr>
              <w:t>); physi</w:t>
            </w:r>
            <w:r w:rsidR="00F174C4">
              <w:rPr>
                <w:sz w:val="20"/>
                <w:szCs w:val="20"/>
              </w:rPr>
              <w:t>c</w:t>
            </w:r>
            <w:r w:rsidR="00174FA7" w:rsidRPr="0060697A">
              <w:rPr>
                <w:sz w:val="20"/>
                <w:szCs w:val="20"/>
              </w:rPr>
              <w:t xml:space="preserve">ochemical assays that model cooking (thermal stability) and the digestive system processes (stability to acid and digestive enzymes); and acute animal toxicity studies. </w:t>
            </w:r>
          </w:p>
          <w:p w14:paraId="01A088E1" w14:textId="038C1771" w:rsidR="008D66B3" w:rsidRPr="0060697A" w:rsidRDefault="008D66B3" w:rsidP="008D66B3">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60697A">
              <w:rPr>
                <w:sz w:val="20"/>
                <w:szCs w:val="20"/>
              </w:rPr>
              <w:t xml:space="preserve">For soy leghemoglobin and many of the endogenous </w:t>
            </w:r>
            <w:r w:rsidRPr="00C228FF">
              <w:rPr>
                <w:i/>
                <w:sz w:val="20"/>
                <w:szCs w:val="20"/>
              </w:rPr>
              <w:t>Pichia</w:t>
            </w:r>
            <w:r w:rsidRPr="0060697A">
              <w:rPr>
                <w:sz w:val="20"/>
                <w:szCs w:val="20"/>
              </w:rPr>
              <w:t xml:space="preserve"> proteins, there was a degree of similarity to a number of cellular housekeeping proteins that are associated with toxins or allergens but which are not themselves toxins or allergens. These proteins are constitutively expressed at high levels and are involved in major metabolic or cell synthesis pathways. As these proteins are required by all cells, the sequences of these proteins are highly conserved across kingdoms and phyla.</w:t>
            </w:r>
          </w:p>
          <w:p w14:paraId="06AFDC0F" w14:textId="77777777" w:rsidR="008D66B3" w:rsidRPr="0060697A" w:rsidRDefault="008D66B3" w:rsidP="008D66B3">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60697A">
              <w:rPr>
                <w:sz w:val="20"/>
                <w:szCs w:val="20"/>
              </w:rPr>
              <w:lastRenderedPageBreak/>
              <w:t xml:space="preserve">Many of the proteins in question had higher sequence similarity to proteins found in common foods or microbes used in food, where there is no evidence of adverse effects. </w:t>
            </w:r>
          </w:p>
          <w:p w14:paraId="2399E765" w14:textId="77777777" w:rsidR="008D66B3" w:rsidRPr="0060697A" w:rsidRDefault="008D66B3" w:rsidP="008D66B3">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60697A">
              <w:rPr>
                <w:sz w:val="20"/>
                <w:szCs w:val="20"/>
              </w:rPr>
              <w:t>Many of the proteins shared sequence similarity to the same proteins found in toxigenic yeast and bacteria. None of the proteins in question have been shown to be allergenic or toxigenic.</w:t>
            </w:r>
          </w:p>
          <w:p w14:paraId="66E12E11" w14:textId="15EDA8A3" w:rsidR="00174FA7" w:rsidRPr="00F2573D" w:rsidRDefault="008D66B3" w:rsidP="00F2573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60697A">
              <w:rPr>
                <w:sz w:val="20"/>
                <w:szCs w:val="20"/>
              </w:rPr>
              <w:t xml:space="preserve">Furthermore, the proteins in question were part of the preparation used in the </w:t>
            </w:r>
            <w:r>
              <w:rPr>
                <w:sz w:val="20"/>
                <w:szCs w:val="20"/>
              </w:rPr>
              <w:t xml:space="preserve">animal feeding </w:t>
            </w:r>
            <w:r w:rsidRPr="0060697A">
              <w:rPr>
                <w:sz w:val="20"/>
                <w:szCs w:val="20"/>
              </w:rPr>
              <w:t>stud</w:t>
            </w:r>
            <w:r>
              <w:rPr>
                <w:sz w:val="20"/>
                <w:szCs w:val="20"/>
              </w:rPr>
              <w:t>y</w:t>
            </w:r>
            <w:r w:rsidRPr="0060697A">
              <w:rPr>
                <w:sz w:val="20"/>
                <w:szCs w:val="20"/>
              </w:rPr>
              <w:t xml:space="preserve">. None of the animals exhibited adverse effects associated with the test article (the soy leghemoglobin preparation, containing the endogenous </w:t>
            </w:r>
            <w:r w:rsidRPr="00C228FF">
              <w:rPr>
                <w:i/>
                <w:sz w:val="20"/>
                <w:szCs w:val="20"/>
              </w:rPr>
              <w:t>Pichia</w:t>
            </w:r>
            <w:r w:rsidRPr="0060697A">
              <w:rPr>
                <w:sz w:val="20"/>
                <w:szCs w:val="20"/>
              </w:rPr>
              <w:t xml:space="preserve"> proteins), confirming the </w:t>
            </w:r>
            <w:r w:rsidR="0052545E" w:rsidRPr="0060697A">
              <w:rPr>
                <w:sz w:val="20"/>
                <w:szCs w:val="20"/>
              </w:rPr>
              <w:t>bioinformatics</w:t>
            </w:r>
            <w:r w:rsidRPr="0060697A">
              <w:rPr>
                <w:sz w:val="20"/>
                <w:szCs w:val="20"/>
              </w:rPr>
              <w:t xml:space="preserve"> results and literature review.</w:t>
            </w:r>
          </w:p>
          <w:p w14:paraId="2841FFCE" w14:textId="77777777" w:rsidR="00174FA7" w:rsidRPr="0060697A" w:rsidRDefault="00174FA7" w:rsidP="0060697A">
            <w:pPr>
              <w:cnfStyle w:val="000000000000" w:firstRow="0" w:lastRow="0" w:firstColumn="0" w:lastColumn="0" w:oddVBand="0" w:evenVBand="0" w:oddHBand="0" w:evenHBand="0" w:firstRowFirstColumn="0" w:firstRowLastColumn="0" w:lastRowFirstColumn="0" w:lastRowLastColumn="0"/>
              <w:rPr>
                <w:b/>
                <w:sz w:val="20"/>
                <w:szCs w:val="20"/>
              </w:rPr>
            </w:pPr>
            <w:r w:rsidRPr="0060697A">
              <w:rPr>
                <w:b/>
                <w:sz w:val="20"/>
                <w:szCs w:val="20"/>
              </w:rPr>
              <w:t>Literature review</w:t>
            </w:r>
          </w:p>
          <w:p w14:paraId="26BA5EE8" w14:textId="5D25C8BE" w:rsidR="00174FA7" w:rsidRPr="0060697A" w:rsidRDefault="00174FA7" w:rsidP="00F2573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60697A">
              <w:rPr>
                <w:sz w:val="20"/>
                <w:szCs w:val="20"/>
              </w:rPr>
              <w:t>FSANZ</w:t>
            </w:r>
            <w:r w:rsidR="00446CF3">
              <w:rPr>
                <w:sz w:val="20"/>
                <w:szCs w:val="20"/>
              </w:rPr>
              <w:t xml:space="preserve"> also</w:t>
            </w:r>
            <w:r w:rsidRPr="0060697A">
              <w:rPr>
                <w:sz w:val="20"/>
                <w:szCs w:val="20"/>
              </w:rPr>
              <w:t xml:space="preserve"> </w:t>
            </w:r>
            <w:r w:rsidR="00446CF3">
              <w:rPr>
                <w:sz w:val="20"/>
                <w:szCs w:val="20"/>
              </w:rPr>
              <w:t>undertook</w:t>
            </w:r>
            <w:r w:rsidRPr="0060697A">
              <w:rPr>
                <w:sz w:val="20"/>
                <w:szCs w:val="20"/>
              </w:rPr>
              <w:t xml:space="preserve"> a literature search to confirm the </w:t>
            </w:r>
            <w:r w:rsidR="00446CF3">
              <w:rPr>
                <w:sz w:val="20"/>
                <w:szCs w:val="20"/>
              </w:rPr>
              <w:t>absence of evidence of either toxicity or allergenicity associated with the novel proteins</w:t>
            </w:r>
            <w:r w:rsidRPr="0060697A">
              <w:rPr>
                <w:sz w:val="20"/>
                <w:szCs w:val="20"/>
              </w:rPr>
              <w:t>.</w:t>
            </w:r>
          </w:p>
          <w:p w14:paraId="145398AC" w14:textId="228B1364" w:rsidR="00174FA7" w:rsidRPr="0060697A" w:rsidRDefault="00A8170D" w:rsidP="0060697A">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D</w:t>
            </w:r>
            <w:r w:rsidR="00174FA7" w:rsidRPr="0060697A">
              <w:rPr>
                <w:b/>
                <w:sz w:val="20"/>
                <w:szCs w:val="20"/>
              </w:rPr>
              <w:t>ata provided to FSANZ</w:t>
            </w:r>
          </w:p>
          <w:p w14:paraId="61B5AB6E" w14:textId="77777777" w:rsidR="0052545E" w:rsidRDefault="00174FA7" w:rsidP="0060697A">
            <w:pPr>
              <w:cnfStyle w:val="000000000000" w:firstRow="0" w:lastRow="0" w:firstColumn="0" w:lastColumn="0" w:oddVBand="0" w:evenVBand="0" w:oddHBand="0" w:evenHBand="0" w:firstRowFirstColumn="0" w:firstRowLastColumn="0" w:lastRowFirstColumn="0" w:lastRowLastColumn="0"/>
              <w:rPr>
                <w:sz w:val="20"/>
                <w:szCs w:val="20"/>
              </w:rPr>
            </w:pPr>
            <w:r w:rsidRPr="0060697A">
              <w:rPr>
                <w:sz w:val="20"/>
                <w:szCs w:val="20"/>
              </w:rPr>
              <w:t xml:space="preserve">The data provided to FSANZ was generated by the applicant and contract laboratories. The data requirements of the studies are outlined in the FSANZ </w:t>
            </w:r>
            <w:hyperlink r:id="rId24" w:history="1">
              <w:r w:rsidRPr="0060697A">
                <w:rPr>
                  <w:rStyle w:val="Hyperlink"/>
                  <w:rFonts w:cs="Arial"/>
                  <w:sz w:val="20"/>
                  <w:szCs w:val="20"/>
                </w:rPr>
                <w:t>Application Handbook</w:t>
              </w:r>
            </w:hyperlink>
            <w:r w:rsidRPr="0060697A">
              <w:rPr>
                <w:sz w:val="20"/>
                <w:szCs w:val="20"/>
              </w:rPr>
              <w:t>, and are based on protocols established by Codex and the OECD. For example, the toxicity studies were conducted by contract research laboratories in compliance with OECD test guidelines and Good Laboratory Practice standards. This means that significant and robust quality control measures were applied to them by the study director and independent auditors.</w:t>
            </w:r>
          </w:p>
          <w:p w14:paraId="05E90929" w14:textId="4F61CB26" w:rsidR="00174FA7" w:rsidRPr="0060697A" w:rsidRDefault="00174FA7" w:rsidP="0060697A">
            <w:pPr>
              <w:cnfStyle w:val="000000000000" w:firstRow="0" w:lastRow="0" w:firstColumn="0" w:lastColumn="0" w:oddVBand="0" w:evenVBand="0" w:oddHBand="0" w:evenHBand="0" w:firstRowFirstColumn="0" w:firstRowLastColumn="0" w:lastRowFirstColumn="0" w:lastRowLastColumn="0"/>
              <w:rPr>
                <w:sz w:val="20"/>
                <w:szCs w:val="20"/>
              </w:rPr>
            </w:pPr>
          </w:p>
          <w:p w14:paraId="73F1F863" w14:textId="3F6202FF" w:rsidR="00174FA7" w:rsidRPr="0060697A" w:rsidRDefault="00174FA7" w:rsidP="005440CC">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60697A">
              <w:rPr>
                <w:sz w:val="20"/>
                <w:szCs w:val="20"/>
              </w:rPr>
              <w:t>FSANZ independently reviewed the quality of the studies and all of the data including raw data, and considered them suitable for regulatory purposes.</w:t>
            </w:r>
          </w:p>
        </w:tc>
      </w:tr>
      <w:tr w:rsidR="00AF19A9" w:rsidRPr="00BA2E47" w14:paraId="377706FC" w14:textId="77777777" w:rsidTr="00544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27133D39" w14:textId="77777777" w:rsidR="00174FA7" w:rsidRPr="00F03EC4" w:rsidRDefault="00174FA7" w:rsidP="0052545E">
            <w:pPr>
              <w:pStyle w:val="ListParagraph"/>
              <w:numPr>
                <w:ilvl w:val="0"/>
                <w:numId w:val="8"/>
              </w:numPr>
              <w:ind w:left="29" w:right="-50" w:firstLine="2"/>
              <w:jc w:val="center"/>
              <w:rPr>
                <w:rFonts w:cs="Arial"/>
                <w:b w:val="0"/>
                <w:bCs w:val="0"/>
                <w:szCs w:val="22"/>
              </w:rPr>
            </w:pPr>
          </w:p>
        </w:tc>
        <w:tc>
          <w:tcPr>
            <w:tcW w:w="1557" w:type="pct"/>
          </w:tcPr>
          <w:p w14:paraId="28207EA3" w14:textId="34A22098" w:rsidR="00174FA7" w:rsidRPr="00BC01A4" w:rsidRDefault="00174FA7" w:rsidP="00F2573D">
            <w:pPr>
              <w:spacing w:before="60"/>
              <w:cnfStyle w:val="000000100000" w:firstRow="0" w:lastRow="0" w:firstColumn="0" w:lastColumn="0" w:oddVBand="0" w:evenVBand="0" w:oddHBand="1" w:evenHBand="0" w:firstRowFirstColumn="0" w:firstRowLastColumn="0" w:lastRowFirstColumn="0" w:lastRowLastColumn="0"/>
              <w:rPr>
                <w:sz w:val="20"/>
                <w:szCs w:val="20"/>
              </w:rPr>
            </w:pPr>
            <w:r w:rsidRPr="00BC01A4">
              <w:rPr>
                <w:sz w:val="20"/>
                <w:szCs w:val="20"/>
              </w:rPr>
              <w:t xml:space="preserve">FSANZ has only used safety assessment data from one strain (MXY0291). Evidence shows different </w:t>
            </w:r>
            <w:r w:rsidRPr="00BC01A4">
              <w:rPr>
                <w:i/>
                <w:sz w:val="20"/>
                <w:szCs w:val="20"/>
              </w:rPr>
              <w:t>Pichia pastoris</w:t>
            </w:r>
            <w:r w:rsidRPr="00BC01A4">
              <w:rPr>
                <w:sz w:val="20"/>
                <w:szCs w:val="20"/>
              </w:rPr>
              <w:t xml:space="preserve"> proteins are expressed across strains and batches, which could impact safety and purity. </w:t>
            </w:r>
          </w:p>
        </w:tc>
        <w:tc>
          <w:tcPr>
            <w:tcW w:w="780" w:type="pct"/>
          </w:tcPr>
          <w:p w14:paraId="01A6FF45" w14:textId="6B0B320C" w:rsidR="00174FA7" w:rsidRPr="00BC01A4" w:rsidRDefault="00081EB9" w:rsidP="00F2573D">
            <w:pPr>
              <w:spacing w:before="60"/>
              <w:cnfStyle w:val="000000100000" w:firstRow="0" w:lastRow="0" w:firstColumn="0" w:lastColumn="0" w:oddVBand="0" w:evenVBand="0" w:oddHBand="1" w:evenHBand="0" w:firstRowFirstColumn="0" w:firstRowLastColumn="0" w:lastRowFirstColumn="0" w:lastRowLastColumn="0"/>
              <w:rPr>
                <w:sz w:val="20"/>
                <w:szCs w:val="20"/>
              </w:rPr>
            </w:pPr>
            <w:r w:rsidRPr="00BC01A4">
              <w:rPr>
                <w:sz w:val="20"/>
                <w:szCs w:val="20"/>
              </w:rPr>
              <w:t>Government (2)</w:t>
            </w:r>
            <w:r w:rsidR="00174FA7" w:rsidRPr="00BC01A4">
              <w:rPr>
                <w:sz w:val="20"/>
                <w:szCs w:val="20"/>
              </w:rPr>
              <w:t xml:space="preserve">, </w:t>
            </w:r>
            <w:r w:rsidR="00BC01A4" w:rsidRPr="00BC01A4">
              <w:rPr>
                <w:sz w:val="20"/>
                <w:szCs w:val="20"/>
              </w:rPr>
              <w:t>Consumer organisations (2); Primary production organisation (1)</w:t>
            </w:r>
          </w:p>
        </w:tc>
        <w:tc>
          <w:tcPr>
            <w:tcW w:w="2518" w:type="pct"/>
          </w:tcPr>
          <w:p w14:paraId="23E45587" w14:textId="55C46588" w:rsidR="006B3BD8" w:rsidRPr="00BC01A4" w:rsidRDefault="00174FA7" w:rsidP="009A4F6C">
            <w:pPr>
              <w:spacing w:before="60" w:after="120"/>
              <w:cnfStyle w:val="000000100000" w:firstRow="0" w:lastRow="0" w:firstColumn="0" w:lastColumn="0" w:oddVBand="0" w:evenVBand="0" w:oddHBand="1" w:evenHBand="0" w:firstRowFirstColumn="0" w:firstRowLastColumn="0" w:lastRowFirstColumn="0" w:lastRowLastColumn="0"/>
              <w:rPr>
                <w:sz w:val="20"/>
                <w:szCs w:val="20"/>
              </w:rPr>
            </w:pPr>
            <w:r w:rsidRPr="00BC01A4">
              <w:rPr>
                <w:sz w:val="20"/>
                <w:szCs w:val="20"/>
              </w:rPr>
              <w:t xml:space="preserve">In the development of a </w:t>
            </w:r>
            <w:r w:rsidRPr="00BC01A4">
              <w:rPr>
                <w:i/>
                <w:sz w:val="20"/>
                <w:szCs w:val="20"/>
              </w:rPr>
              <w:t>Pichia pastoris</w:t>
            </w:r>
            <w:r w:rsidRPr="00BC01A4">
              <w:rPr>
                <w:sz w:val="20"/>
                <w:szCs w:val="20"/>
              </w:rPr>
              <w:t xml:space="preserve"> strain expressing soy leghemoglobin, the applicant has generated two strains for production purposes. Both strains express the same leghemoglobin protein, containing an iron-bound heme component. Molecular and physi</w:t>
            </w:r>
            <w:r w:rsidR="00F174C4">
              <w:rPr>
                <w:sz w:val="20"/>
                <w:szCs w:val="20"/>
              </w:rPr>
              <w:t>c</w:t>
            </w:r>
            <w:r w:rsidRPr="00BC01A4">
              <w:rPr>
                <w:sz w:val="20"/>
                <w:szCs w:val="20"/>
              </w:rPr>
              <w:t xml:space="preserve">ochemical data was provided for the total LegH </w:t>
            </w:r>
            <w:r w:rsidR="008D66B3">
              <w:rPr>
                <w:sz w:val="20"/>
                <w:szCs w:val="20"/>
              </w:rPr>
              <w:t>P</w:t>
            </w:r>
            <w:r w:rsidRPr="00BC01A4">
              <w:rPr>
                <w:sz w:val="20"/>
                <w:szCs w:val="20"/>
              </w:rPr>
              <w:t xml:space="preserve">rep product from both strains and was highly comparable. The purity and specification for the product has been based on batch analyses from both strains. In the specifications, protein makes up 14% of the total LegH </w:t>
            </w:r>
            <w:r w:rsidR="005B5CD3">
              <w:rPr>
                <w:sz w:val="20"/>
                <w:szCs w:val="20"/>
              </w:rPr>
              <w:t>P</w:t>
            </w:r>
            <w:r w:rsidR="005B5CD3" w:rsidRPr="00BC01A4">
              <w:rPr>
                <w:sz w:val="20"/>
                <w:szCs w:val="20"/>
              </w:rPr>
              <w:t xml:space="preserve">rep </w:t>
            </w:r>
            <w:r w:rsidRPr="00BC01A4">
              <w:rPr>
                <w:sz w:val="20"/>
                <w:szCs w:val="20"/>
              </w:rPr>
              <w:t xml:space="preserve">with soy leghemoglobin making up &gt; 65% total protein. </w:t>
            </w:r>
          </w:p>
          <w:p w14:paraId="7E02E57E" w14:textId="35F7A028" w:rsidR="006B3BD8" w:rsidRPr="00BC01A4" w:rsidRDefault="00174FA7" w:rsidP="009A4F6C">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BC01A4">
              <w:rPr>
                <w:sz w:val="20"/>
                <w:szCs w:val="20"/>
              </w:rPr>
              <w:t xml:space="preserve">Detailed analyses identified the most highly expressed </w:t>
            </w:r>
            <w:r w:rsidRPr="00C228FF">
              <w:rPr>
                <w:i/>
                <w:sz w:val="20"/>
                <w:szCs w:val="20"/>
              </w:rPr>
              <w:t>Pichia</w:t>
            </w:r>
            <w:r w:rsidRPr="00BC01A4">
              <w:rPr>
                <w:sz w:val="20"/>
                <w:szCs w:val="20"/>
              </w:rPr>
              <w:t xml:space="preserve"> proteins across both strains and fermentation cultures. There were many common proteins across strains and cultures because these endogenous proteins are constitutively expressed to high levels. Both the soy leghemoglobin and </w:t>
            </w:r>
            <w:r w:rsidRPr="00C228FF">
              <w:rPr>
                <w:i/>
                <w:sz w:val="20"/>
                <w:szCs w:val="20"/>
              </w:rPr>
              <w:t>P</w:t>
            </w:r>
            <w:r w:rsidRPr="00A8170D">
              <w:rPr>
                <w:i/>
                <w:sz w:val="20"/>
                <w:szCs w:val="20"/>
              </w:rPr>
              <w:t>ichia</w:t>
            </w:r>
            <w:r w:rsidRPr="00BC01A4">
              <w:rPr>
                <w:sz w:val="20"/>
                <w:szCs w:val="20"/>
              </w:rPr>
              <w:t xml:space="preserve"> proteins were shown to have no biologically significant similarity to known toxins or allergens, were fully degraded in heat and acid stability and proteolysis assays. Furthermore, it is important to note that a wide range of proteins exist in the human diet of which the vast majority are neither toxigenic nor allergenic.</w:t>
            </w:r>
          </w:p>
          <w:p w14:paraId="0918D3A5" w14:textId="7F5BAFBC" w:rsidR="00174FA7" w:rsidRDefault="00174FA7" w:rsidP="00BC01A4">
            <w:pPr>
              <w:cnfStyle w:val="000000100000" w:firstRow="0" w:lastRow="0" w:firstColumn="0" w:lastColumn="0" w:oddVBand="0" w:evenVBand="0" w:oddHBand="1" w:evenHBand="0" w:firstRowFirstColumn="0" w:firstRowLastColumn="0" w:lastRowFirstColumn="0" w:lastRowLastColumn="0"/>
              <w:rPr>
                <w:sz w:val="20"/>
                <w:szCs w:val="20"/>
              </w:rPr>
            </w:pPr>
            <w:r w:rsidRPr="00BC01A4">
              <w:rPr>
                <w:sz w:val="20"/>
                <w:szCs w:val="20"/>
              </w:rPr>
              <w:t xml:space="preserve">While the animal studies were performed using the LegH </w:t>
            </w:r>
            <w:r w:rsidR="005B5CD3">
              <w:rPr>
                <w:sz w:val="20"/>
                <w:szCs w:val="20"/>
              </w:rPr>
              <w:t>P</w:t>
            </w:r>
            <w:r w:rsidR="005B5CD3" w:rsidRPr="00BC01A4">
              <w:rPr>
                <w:sz w:val="20"/>
                <w:szCs w:val="20"/>
              </w:rPr>
              <w:t xml:space="preserve">rep </w:t>
            </w:r>
            <w:r w:rsidRPr="00BC01A4">
              <w:rPr>
                <w:sz w:val="20"/>
                <w:szCs w:val="20"/>
              </w:rPr>
              <w:t xml:space="preserve">from one strain, both strains met the specifications provided by the applicant and were shown to contain a similar mixture of </w:t>
            </w:r>
            <w:r w:rsidRPr="00C228FF">
              <w:rPr>
                <w:i/>
                <w:sz w:val="20"/>
                <w:szCs w:val="20"/>
              </w:rPr>
              <w:t>Pichia</w:t>
            </w:r>
            <w:r w:rsidRPr="00BC01A4">
              <w:rPr>
                <w:sz w:val="20"/>
                <w:szCs w:val="20"/>
              </w:rPr>
              <w:t xml:space="preserve"> proteins. The results from the toxicity assay indicated there were no adverse effects from either the soy leghemoglobin or </w:t>
            </w:r>
            <w:r w:rsidRPr="00C228FF">
              <w:rPr>
                <w:i/>
                <w:sz w:val="20"/>
                <w:szCs w:val="20"/>
              </w:rPr>
              <w:t xml:space="preserve">Pichia </w:t>
            </w:r>
            <w:r w:rsidRPr="00BC01A4">
              <w:rPr>
                <w:sz w:val="20"/>
                <w:szCs w:val="20"/>
              </w:rPr>
              <w:t>proteins.</w:t>
            </w:r>
          </w:p>
          <w:p w14:paraId="7B71B515" w14:textId="77777777" w:rsidR="0052545E" w:rsidRPr="00BC01A4" w:rsidRDefault="0052545E" w:rsidP="00BC01A4">
            <w:pPr>
              <w:cnfStyle w:val="000000100000" w:firstRow="0" w:lastRow="0" w:firstColumn="0" w:lastColumn="0" w:oddVBand="0" w:evenVBand="0" w:oddHBand="1" w:evenHBand="0" w:firstRowFirstColumn="0" w:firstRowLastColumn="0" w:lastRowFirstColumn="0" w:lastRowLastColumn="0"/>
              <w:rPr>
                <w:sz w:val="20"/>
                <w:szCs w:val="20"/>
              </w:rPr>
            </w:pPr>
          </w:p>
          <w:p w14:paraId="7E9BBB8D" w14:textId="7EE4640C" w:rsidR="00174FA7" w:rsidRPr="00BC01A4" w:rsidRDefault="00174FA7" w:rsidP="005440CC">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BC01A4">
              <w:rPr>
                <w:sz w:val="20"/>
                <w:szCs w:val="20"/>
              </w:rPr>
              <w:t>Other agencies have also performed a full safety assessment that supports FSANZ</w:t>
            </w:r>
            <w:r w:rsidR="00AB54A7">
              <w:rPr>
                <w:sz w:val="20"/>
                <w:szCs w:val="20"/>
              </w:rPr>
              <w:t>’s</w:t>
            </w:r>
            <w:r w:rsidRPr="00BC01A4">
              <w:rPr>
                <w:sz w:val="20"/>
                <w:szCs w:val="20"/>
              </w:rPr>
              <w:t xml:space="preserve"> conclusion: Health Canada, Singapore, US FDA.</w:t>
            </w:r>
          </w:p>
        </w:tc>
      </w:tr>
      <w:tr w:rsidR="00AF19A9" w:rsidRPr="00BA2E47" w14:paraId="3DAEC6B2" w14:textId="77777777" w:rsidTr="005440CC">
        <w:tc>
          <w:tcPr>
            <w:cnfStyle w:val="001000000000" w:firstRow="0" w:lastRow="0" w:firstColumn="1" w:lastColumn="0" w:oddVBand="0" w:evenVBand="0" w:oddHBand="0" w:evenHBand="0" w:firstRowFirstColumn="0" w:firstRowLastColumn="0" w:lastRowFirstColumn="0" w:lastRowLastColumn="0"/>
            <w:tcW w:w="145" w:type="pct"/>
            <w:vAlign w:val="center"/>
          </w:tcPr>
          <w:p w14:paraId="0DA1B10D" w14:textId="77777777" w:rsidR="00174FA7" w:rsidRPr="00F03EC4" w:rsidRDefault="00174FA7" w:rsidP="0052545E">
            <w:pPr>
              <w:pStyle w:val="ListParagraph"/>
              <w:numPr>
                <w:ilvl w:val="0"/>
                <w:numId w:val="8"/>
              </w:numPr>
              <w:ind w:left="29" w:right="-50" w:firstLine="2"/>
              <w:jc w:val="center"/>
              <w:rPr>
                <w:rFonts w:cs="Arial"/>
                <w:b w:val="0"/>
                <w:bCs w:val="0"/>
                <w:szCs w:val="22"/>
              </w:rPr>
            </w:pPr>
          </w:p>
        </w:tc>
        <w:tc>
          <w:tcPr>
            <w:tcW w:w="1557" w:type="pct"/>
          </w:tcPr>
          <w:p w14:paraId="0F120615" w14:textId="58E12850" w:rsidR="00174FA7" w:rsidRPr="00BC01A4" w:rsidRDefault="00174FA7" w:rsidP="00F2573D">
            <w:pPr>
              <w:spacing w:before="60" w:after="120"/>
              <w:cnfStyle w:val="000000000000" w:firstRow="0" w:lastRow="0" w:firstColumn="0" w:lastColumn="0" w:oddVBand="0" w:evenVBand="0" w:oddHBand="0" w:evenHBand="0" w:firstRowFirstColumn="0" w:firstRowLastColumn="0" w:lastRowFirstColumn="0" w:lastRowLastColumn="0"/>
              <w:rPr>
                <w:sz w:val="20"/>
                <w:szCs w:val="20"/>
              </w:rPr>
            </w:pPr>
            <w:r w:rsidRPr="00BC01A4">
              <w:rPr>
                <w:sz w:val="20"/>
                <w:szCs w:val="20"/>
              </w:rPr>
              <w:t>Does FSANZ consider whether peptide fragments of the soy LegH protein may be biologically active in Coeliac disease, gluten-intolerant or soy allergic individuals?</w:t>
            </w:r>
          </w:p>
        </w:tc>
        <w:tc>
          <w:tcPr>
            <w:tcW w:w="780" w:type="pct"/>
          </w:tcPr>
          <w:p w14:paraId="59AB0742" w14:textId="77777777" w:rsidR="00F2573D" w:rsidRDefault="00BC01A4" w:rsidP="00F2573D">
            <w:pPr>
              <w:spacing w:before="60"/>
              <w:cnfStyle w:val="000000000000" w:firstRow="0" w:lastRow="0" w:firstColumn="0" w:lastColumn="0" w:oddVBand="0" w:evenVBand="0" w:oddHBand="0" w:evenHBand="0" w:firstRowFirstColumn="0" w:firstRowLastColumn="0" w:lastRowFirstColumn="0" w:lastRowLastColumn="0"/>
              <w:rPr>
                <w:sz w:val="20"/>
                <w:szCs w:val="20"/>
              </w:rPr>
            </w:pPr>
            <w:r w:rsidRPr="00BC01A4">
              <w:rPr>
                <w:sz w:val="20"/>
                <w:szCs w:val="20"/>
              </w:rPr>
              <w:t>Individual Submitter (1);</w:t>
            </w:r>
            <w:r w:rsidR="00F2573D">
              <w:rPr>
                <w:sz w:val="20"/>
                <w:szCs w:val="20"/>
              </w:rPr>
              <w:t xml:space="preserve"> </w:t>
            </w:r>
          </w:p>
          <w:p w14:paraId="41801C9C" w14:textId="7D54D3E6" w:rsidR="00174FA7" w:rsidRPr="00BC01A4" w:rsidRDefault="00BC01A4" w:rsidP="00BC01A4">
            <w:pPr>
              <w:cnfStyle w:val="000000000000" w:firstRow="0" w:lastRow="0" w:firstColumn="0" w:lastColumn="0" w:oddVBand="0" w:evenVBand="0" w:oddHBand="0" w:evenHBand="0" w:firstRowFirstColumn="0" w:firstRowLastColumn="0" w:lastRowFirstColumn="0" w:lastRowLastColumn="0"/>
              <w:rPr>
                <w:sz w:val="20"/>
                <w:szCs w:val="20"/>
              </w:rPr>
            </w:pPr>
            <w:r w:rsidRPr="00BC01A4">
              <w:rPr>
                <w:sz w:val="20"/>
                <w:szCs w:val="20"/>
              </w:rPr>
              <w:t>Not for profit (1)</w:t>
            </w:r>
          </w:p>
        </w:tc>
        <w:tc>
          <w:tcPr>
            <w:tcW w:w="2518" w:type="pct"/>
          </w:tcPr>
          <w:p w14:paraId="70BA8C18" w14:textId="77777777" w:rsidR="005440CC" w:rsidRDefault="00174FA7" w:rsidP="005440CC">
            <w:pPr>
              <w:spacing w:before="60" w:after="240"/>
              <w:cnfStyle w:val="000000000000" w:firstRow="0" w:lastRow="0" w:firstColumn="0" w:lastColumn="0" w:oddVBand="0" w:evenVBand="0" w:oddHBand="0" w:evenHBand="0" w:firstRowFirstColumn="0" w:firstRowLastColumn="0" w:lastRowFirstColumn="0" w:lastRowLastColumn="0"/>
              <w:rPr>
                <w:sz w:val="20"/>
                <w:szCs w:val="20"/>
                <w:lang w:bidi="ar-SA"/>
              </w:rPr>
            </w:pPr>
            <w:r w:rsidRPr="00BC01A4">
              <w:rPr>
                <w:sz w:val="20"/>
                <w:szCs w:val="20"/>
                <w:lang w:bidi="ar-SA"/>
              </w:rPr>
              <w:t xml:space="preserve">If the gene encoding the new protein is sourced from a known gluten source (wheat, barley, oats etc), FSANZ requires investigation into the role of that protein in elicitation of gluten-sensitive enteropathy. This requirement is specified in the </w:t>
            </w:r>
            <w:hyperlink r:id="rId25" w:history="1">
              <w:r w:rsidRPr="00BC01A4">
                <w:rPr>
                  <w:rStyle w:val="Hyperlink"/>
                  <w:rFonts w:cs="Arial"/>
                  <w:sz w:val="20"/>
                  <w:szCs w:val="20"/>
                  <w:lang w:bidi="ar-SA"/>
                </w:rPr>
                <w:t>Application Handbook</w:t>
              </w:r>
            </w:hyperlink>
            <w:r w:rsidRPr="00BC01A4">
              <w:rPr>
                <w:sz w:val="20"/>
                <w:szCs w:val="20"/>
                <w:lang w:bidi="ar-SA"/>
              </w:rPr>
              <w:t>, in Guideline 3.5.1 Foods produced using gene technology (Section B.2 (b) (v)). As the soy leghemoglobin gene is not sourced from a gluten-containing cereal grain, there was no requirement to undertake this assessment.</w:t>
            </w:r>
          </w:p>
          <w:p w14:paraId="52174139" w14:textId="1ABA1B6B" w:rsidR="00703DBA" w:rsidRDefault="00174FA7" w:rsidP="005440CC">
            <w:pPr>
              <w:spacing w:before="60"/>
              <w:cnfStyle w:val="000000000000" w:firstRow="0" w:lastRow="0" w:firstColumn="0" w:lastColumn="0" w:oddVBand="0" w:evenVBand="0" w:oddHBand="0" w:evenHBand="0" w:firstRowFirstColumn="0" w:firstRowLastColumn="0" w:lastRowFirstColumn="0" w:lastRowLastColumn="0"/>
              <w:rPr>
                <w:sz w:val="20"/>
                <w:szCs w:val="20"/>
                <w:lang w:bidi="ar-SA"/>
              </w:rPr>
            </w:pPr>
            <w:r w:rsidRPr="00BC01A4">
              <w:rPr>
                <w:sz w:val="20"/>
                <w:szCs w:val="20"/>
                <w:lang w:bidi="ar-SA"/>
              </w:rPr>
              <w:t>General allergenicity concerns are addressed according to the internationally accepted Codex approach: 1)</w:t>
            </w:r>
            <w:r w:rsidRPr="00BC01A4">
              <w:rPr>
                <w:sz w:val="20"/>
                <w:szCs w:val="20"/>
              </w:rPr>
              <w:t xml:space="preserve"> bioinformatics (</w:t>
            </w:r>
            <w:r w:rsidRPr="00BC01A4">
              <w:rPr>
                <w:i/>
                <w:sz w:val="20"/>
                <w:szCs w:val="20"/>
              </w:rPr>
              <w:t>in silico</w:t>
            </w:r>
            <w:r w:rsidRPr="00BC01A4">
              <w:rPr>
                <w:sz w:val="20"/>
                <w:szCs w:val="20"/>
              </w:rPr>
              <w:t>) to compare similarity to known allergens; 2) physi</w:t>
            </w:r>
            <w:r w:rsidR="00F174C4">
              <w:rPr>
                <w:sz w:val="20"/>
                <w:szCs w:val="20"/>
              </w:rPr>
              <w:t>c</w:t>
            </w:r>
            <w:r w:rsidRPr="00BC01A4">
              <w:rPr>
                <w:sz w:val="20"/>
                <w:szCs w:val="20"/>
              </w:rPr>
              <w:t>ochemical assays that model cooking and the digestive system processes; 3) if there is evidence of similarity to known allergens or minimal protein denaturation and/or digestion, serum screening studies would be required</w:t>
            </w:r>
            <w:r w:rsidRPr="00BC01A4">
              <w:rPr>
                <w:sz w:val="20"/>
                <w:szCs w:val="20"/>
                <w:lang w:bidi="ar-SA"/>
              </w:rPr>
              <w:t xml:space="preserve">. As the proteins present in the LegH </w:t>
            </w:r>
            <w:r w:rsidR="005B5CD3">
              <w:rPr>
                <w:sz w:val="20"/>
                <w:szCs w:val="20"/>
                <w:lang w:bidi="ar-SA"/>
              </w:rPr>
              <w:t>P</w:t>
            </w:r>
            <w:r w:rsidR="005B5CD3" w:rsidRPr="00BC01A4">
              <w:rPr>
                <w:sz w:val="20"/>
                <w:szCs w:val="20"/>
                <w:lang w:bidi="ar-SA"/>
              </w:rPr>
              <w:t xml:space="preserve">rep </w:t>
            </w:r>
            <w:r w:rsidRPr="00BC01A4">
              <w:rPr>
                <w:sz w:val="20"/>
                <w:szCs w:val="20"/>
                <w:lang w:bidi="ar-SA"/>
              </w:rPr>
              <w:t xml:space="preserve">showed no biologically significant similarity to known allergens and were fully denatured and digested, there was no requirement to undertake further assessment. </w:t>
            </w:r>
          </w:p>
          <w:p w14:paraId="6AD6635D" w14:textId="4D35D152" w:rsidR="00174FA7" w:rsidRPr="00BC01A4" w:rsidRDefault="008D66B3" w:rsidP="005440CC">
            <w:pPr>
              <w:spacing w:after="240"/>
              <w:cnfStyle w:val="000000000000" w:firstRow="0" w:lastRow="0" w:firstColumn="0" w:lastColumn="0" w:oddVBand="0" w:evenVBand="0" w:oddHBand="0" w:evenHBand="0" w:firstRowFirstColumn="0" w:firstRowLastColumn="0" w:lastRowFirstColumn="0" w:lastRowLastColumn="0"/>
              <w:rPr>
                <w:sz w:val="20"/>
                <w:szCs w:val="20"/>
                <w:lang w:bidi="ar-SA"/>
              </w:rPr>
            </w:pPr>
            <w:r>
              <w:rPr>
                <w:sz w:val="20"/>
                <w:szCs w:val="20"/>
                <w:lang w:bidi="ar-SA"/>
              </w:rPr>
              <w:t>For information about labelling, r</w:t>
            </w:r>
            <w:r w:rsidR="00703DBA">
              <w:rPr>
                <w:sz w:val="20"/>
                <w:szCs w:val="20"/>
                <w:lang w:bidi="ar-SA"/>
              </w:rPr>
              <w:t xml:space="preserve">efer to FSANZ’s response to issue </w:t>
            </w:r>
            <w:r w:rsidR="00AE6617">
              <w:rPr>
                <w:sz w:val="20"/>
                <w:szCs w:val="20"/>
                <w:lang w:bidi="ar-SA"/>
              </w:rPr>
              <w:t xml:space="preserve">7 above, </w:t>
            </w:r>
            <w:r w:rsidR="00703DBA">
              <w:rPr>
                <w:sz w:val="20"/>
                <w:szCs w:val="20"/>
                <w:lang w:bidi="ar-SA"/>
              </w:rPr>
              <w:t xml:space="preserve"> relating to soy declarations. </w:t>
            </w:r>
          </w:p>
        </w:tc>
      </w:tr>
      <w:tr w:rsidR="00AF19A9" w:rsidRPr="00BA2E47" w14:paraId="256ED3FF" w14:textId="77777777" w:rsidTr="00544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6ABC39E0" w14:textId="3E38A44A" w:rsidR="00174FA7" w:rsidRPr="00F03EC4" w:rsidRDefault="00174FA7" w:rsidP="0052545E">
            <w:pPr>
              <w:pStyle w:val="ListParagraph"/>
              <w:numPr>
                <w:ilvl w:val="0"/>
                <w:numId w:val="8"/>
              </w:numPr>
              <w:ind w:left="29" w:right="-50" w:firstLine="2"/>
              <w:jc w:val="center"/>
              <w:rPr>
                <w:rFonts w:cs="Arial"/>
                <w:b w:val="0"/>
                <w:bCs w:val="0"/>
                <w:szCs w:val="22"/>
              </w:rPr>
            </w:pPr>
          </w:p>
        </w:tc>
        <w:tc>
          <w:tcPr>
            <w:tcW w:w="1557" w:type="pct"/>
          </w:tcPr>
          <w:p w14:paraId="52054959" w14:textId="3C365529" w:rsidR="00174FA7" w:rsidRPr="00BC01A4" w:rsidRDefault="00174FA7" w:rsidP="00F2573D">
            <w:pPr>
              <w:spacing w:before="60"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BC01A4">
              <w:rPr>
                <w:sz w:val="20"/>
                <w:szCs w:val="20"/>
              </w:rPr>
              <w:t>Suggested consulting a scientific committee that provides expert knowledge on allergic disease</w:t>
            </w:r>
          </w:p>
        </w:tc>
        <w:tc>
          <w:tcPr>
            <w:tcW w:w="780" w:type="pct"/>
          </w:tcPr>
          <w:p w14:paraId="2FDBC8A7" w14:textId="028F7382" w:rsidR="00174FA7" w:rsidRPr="00BC01A4" w:rsidRDefault="00BC01A4" w:rsidP="00F2573D">
            <w:pPr>
              <w:spacing w:before="60"/>
              <w:cnfStyle w:val="000000100000" w:firstRow="0" w:lastRow="0" w:firstColumn="0" w:lastColumn="0" w:oddVBand="0" w:evenVBand="0" w:oddHBand="1" w:evenHBand="0" w:firstRowFirstColumn="0" w:firstRowLastColumn="0" w:lastRowFirstColumn="0" w:lastRowLastColumn="0"/>
              <w:rPr>
                <w:sz w:val="20"/>
                <w:szCs w:val="20"/>
              </w:rPr>
            </w:pPr>
            <w:r w:rsidRPr="00BC01A4">
              <w:rPr>
                <w:sz w:val="20"/>
                <w:szCs w:val="20"/>
              </w:rPr>
              <w:t>Not for profit (2)</w:t>
            </w:r>
            <w:r w:rsidR="00174FA7" w:rsidRPr="00BC01A4">
              <w:rPr>
                <w:sz w:val="20"/>
                <w:szCs w:val="20"/>
              </w:rPr>
              <w:t xml:space="preserve"> </w:t>
            </w:r>
          </w:p>
        </w:tc>
        <w:tc>
          <w:tcPr>
            <w:tcW w:w="2518" w:type="pct"/>
          </w:tcPr>
          <w:p w14:paraId="03BFF844" w14:textId="48AFCE13" w:rsidR="00AD33FC" w:rsidRDefault="00174FA7" w:rsidP="001734D6">
            <w:pPr>
              <w:spacing w:after="240"/>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sidRPr="00BC01A4" w:rsidDel="00845A6C">
              <w:rPr>
                <w:rFonts w:cs="Arial"/>
                <w:sz w:val="20"/>
                <w:szCs w:val="20"/>
                <w:lang w:bidi="ar-SA"/>
              </w:rPr>
              <w:t xml:space="preserve">FSANZ </w:t>
            </w:r>
            <w:r w:rsidRPr="00BC01A4">
              <w:rPr>
                <w:rFonts w:cs="Arial"/>
                <w:sz w:val="20"/>
                <w:szCs w:val="20"/>
                <w:lang w:bidi="ar-SA"/>
              </w:rPr>
              <w:t xml:space="preserve">has access to external experts, in particular the </w:t>
            </w:r>
            <w:hyperlink r:id="rId26" w:history="1">
              <w:r w:rsidRPr="00BC01A4">
                <w:rPr>
                  <w:rStyle w:val="Hyperlink"/>
                  <w:rFonts w:cs="Arial"/>
                  <w:sz w:val="20"/>
                  <w:szCs w:val="20"/>
                  <w:lang w:bidi="ar-SA"/>
                </w:rPr>
                <w:t>Food Allergy and Intolerance Scientific Advisory Group</w:t>
              </w:r>
            </w:hyperlink>
            <w:r w:rsidRPr="00BC01A4">
              <w:rPr>
                <w:rFonts w:cs="Arial"/>
                <w:sz w:val="20"/>
                <w:szCs w:val="20"/>
                <w:lang w:bidi="ar-SA"/>
              </w:rPr>
              <w:t>. In regard to this application, analysis of the data did not raise concerns regarding allergenicity, therefore the scientific advisory group</w:t>
            </w:r>
            <w:r w:rsidR="00845A6C">
              <w:rPr>
                <w:rFonts w:cs="Arial"/>
                <w:sz w:val="20"/>
                <w:szCs w:val="20"/>
                <w:lang w:bidi="ar-SA"/>
              </w:rPr>
              <w:t xml:space="preserve"> was not consulted</w:t>
            </w:r>
            <w:r w:rsidRPr="00BC01A4">
              <w:rPr>
                <w:rFonts w:cs="Arial"/>
                <w:sz w:val="20"/>
                <w:szCs w:val="20"/>
                <w:lang w:bidi="ar-SA"/>
              </w:rPr>
              <w:t>.</w:t>
            </w:r>
          </w:p>
          <w:p w14:paraId="1DAD8909" w14:textId="19030AFD" w:rsidR="00174FA7" w:rsidRPr="00BC01A4" w:rsidRDefault="00AD33FC" w:rsidP="001734D6">
            <w:pPr>
              <w:spacing w:before="60" w:after="240"/>
              <w:cnfStyle w:val="000000100000" w:firstRow="0" w:lastRow="0" w:firstColumn="0" w:lastColumn="0" w:oddVBand="0" w:evenVBand="0" w:oddHBand="1" w:evenHBand="0" w:firstRowFirstColumn="0" w:firstRowLastColumn="0" w:lastRowFirstColumn="0" w:lastRowLastColumn="0"/>
              <w:rPr>
                <w:rFonts w:cs="Arial"/>
                <w:sz w:val="20"/>
                <w:szCs w:val="20"/>
                <w:lang w:bidi="ar-SA"/>
              </w:rPr>
            </w:pPr>
            <w:r>
              <w:rPr>
                <w:rFonts w:cs="Arial"/>
                <w:sz w:val="20"/>
                <w:szCs w:val="20"/>
                <w:lang w:bidi="ar-SA"/>
              </w:rPr>
              <w:t>Additionally, p</w:t>
            </w:r>
            <w:r w:rsidRPr="00AD33FC">
              <w:rPr>
                <w:rFonts w:cs="Arial"/>
                <w:sz w:val="20"/>
                <w:szCs w:val="20"/>
                <w:lang w:bidi="ar-SA"/>
              </w:rPr>
              <w:t>ost-market surveillance data provided by international regulatory partners has not identified any confirmed adverse events following consumption of meat analogue products containing soy leghemoglobin. This is consistent with data provided by the applicant and the outcomes of FSANZ’s safety assessment.</w:t>
            </w:r>
          </w:p>
        </w:tc>
      </w:tr>
      <w:tr w:rsidR="00AF19A9" w:rsidRPr="00BA2E47" w14:paraId="2FA99A48" w14:textId="77777777" w:rsidTr="005440CC">
        <w:tc>
          <w:tcPr>
            <w:cnfStyle w:val="001000000000" w:firstRow="0" w:lastRow="0" w:firstColumn="1" w:lastColumn="0" w:oddVBand="0" w:evenVBand="0" w:oddHBand="0" w:evenHBand="0" w:firstRowFirstColumn="0" w:firstRowLastColumn="0" w:lastRowFirstColumn="0" w:lastRowLastColumn="0"/>
            <w:tcW w:w="145" w:type="pct"/>
            <w:vAlign w:val="center"/>
          </w:tcPr>
          <w:p w14:paraId="413D87EC" w14:textId="536D8676" w:rsidR="00174FA7" w:rsidRPr="00F03EC4" w:rsidRDefault="00174FA7" w:rsidP="0052545E">
            <w:pPr>
              <w:pStyle w:val="ListParagraph"/>
              <w:numPr>
                <w:ilvl w:val="0"/>
                <w:numId w:val="8"/>
              </w:numPr>
              <w:ind w:left="29" w:right="-50" w:firstLine="2"/>
              <w:jc w:val="center"/>
              <w:rPr>
                <w:rFonts w:cs="Arial"/>
                <w:b w:val="0"/>
                <w:bCs w:val="0"/>
                <w:szCs w:val="22"/>
              </w:rPr>
            </w:pPr>
          </w:p>
        </w:tc>
        <w:tc>
          <w:tcPr>
            <w:tcW w:w="1557" w:type="pct"/>
          </w:tcPr>
          <w:p w14:paraId="70942E91" w14:textId="5B2BC92C" w:rsidR="00174FA7" w:rsidRPr="00BC01A4" w:rsidRDefault="00174FA7" w:rsidP="005440CC">
            <w:pPr>
              <w:spacing w:before="60" w:after="240"/>
              <w:cnfStyle w:val="000000000000" w:firstRow="0" w:lastRow="0" w:firstColumn="0" w:lastColumn="0" w:oddVBand="0" w:evenVBand="0" w:oddHBand="0" w:evenHBand="0" w:firstRowFirstColumn="0" w:firstRowLastColumn="0" w:lastRowFirstColumn="0" w:lastRowLastColumn="0"/>
              <w:rPr>
                <w:sz w:val="20"/>
                <w:szCs w:val="20"/>
              </w:rPr>
            </w:pPr>
            <w:r w:rsidRPr="00BC01A4">
              <w:rPr>
                <w:rFonts w:cs="Arial"/>
                <w:sz w:val="20"/>
                <w:szCs w:val="20"/>
              </w:rPr>
              <w:t xml:space="preserve">The </w:t>
            </w:r>
            <w:r w:rsidR="005440CC">
              <w:rPr>
                <w:rFonts w:cs="Arial"/>
                <w:sz w:val="20"/>
                <w:szCs w:val="20"/>
              </w:rPr>
              <w:t>US</w:t>
            </w:r>
            <w:r w:rsidRPr="00BC01A4">
              <w:rPr>
                <w:rFonts w:cs="Arial"/>
                <w:sz w:val="20"/>
                <w:szCs w:val="20"/>
              </w:rPr>
              <w:t>FDA has said that</w:t>
            </w:r>
            <w:r w:rsidR="005440CC">
              <w:rPr>
                <w:rFonts w:cs="Arial"/>
                <w:sz w:val="20"/>
                <w:szCs w:val="20"/>
              </w:rPr>
              <w:t>,</w:t>
            </w:r>
            <w:r w:rsidRPr="00BC01A4">
              <w:rPr>
                <w:rFonts w:cs="Arial"/>
                <w:sz w:val="20"/>
                <w:szCs w:val="20"/>
              </w:rPr>
              <w:t xml:space="preserve"> “Conformational similarity or functional similarity among proteins is not an indication of the safety of proteins for consumption.” Dr Michael Hansen, senior scientist with Consumers Union and member of the GMOS</w:t>
            </w:r>
            <w:r w:rsidR="005440CC">
              <w:rPr>
                <w:rFonts w:cs="Arial"/>
                <w:sz w:val="20"/>
                <w:szCs w:val="20"/>
              </w:rPr>
              <w:t xml:space="preserve">cience Advisory Board, agreed, </w:t>
            </w:r>
            <w:r w:rsidRPr="00BC01A4">
              <w:rPr>
                <w:rFonts w:cs="Arial"/>
                <w:sz w:val="20"/>
                <w:szCs w:val="20"/>
              </w:rPr>
              <w:t>”just because proteins have similar functions or similar three-dimensional structures, doesn’t mean that they’re similar. They can have a very different amino acid sequence, and just slight changes can have impacts.” Such impacts could include unexpected toxicity or allergenicity</w:t>
            </w:r>
            <w:r w:rsidR="007B1DA3">
              <w:rPr>
                <w:rFonts w:cs="Arial"/>
                <w:sz w:val="20"/>
                <w:szCs w:val="20"/>
              </w:rPr>
              <w:t>.</w:t>
            </w:r>
          </w:p>
        </w:tc>
        <w:tc>
          <w:tcPr>
            <w:tcW w:w="780" w:type="pct"/>
          </w:tcPr>
          <w:p w14:paraId="7FCB559A" w14:textId="12E61E5E" w:rsidR="00174FA7" w:rsidRPr="00BC01A4" w:rsidRDefault="00BC01A4" w:rsidP="00F2573D">
            <w:pPr>
              <w:spacing w:before="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Consumer organisation (1)</w:t>
            </w:r>
          </w:p>
        </w:tc>
        <w:tc>
          <w:tcPr>
            <w:tcW w:w="2518" w:type="pct"/>
          </w:tcPr>
          <w:p w14:paraId="369FE890" w14:textId="1F8ADF44" w:rsidR="00174FA7" w:rsidRPr="00BC01A4" w:rsidRDefault="00174FA7" w:rsidP="00194665">
            <w:pPr>
              <w:cnfStyle w:val="000000000000" w:firstRow="0" w:lastRow="0" w:firstColumn="0" w:lastColumn="0" w:oddVBand="0" w:evenVBand="0" w:oddHBand="0" w:evenHBand="0" w:firstRowFirstColumn="0" w:firstRowLastColumn="0" w:lastRowFirstColumn="0" w:lastRowLastColumn="0"/>
              <w:rPr>
                <w:sz w:val="20"/>
                <w:szCs w:val="20"/>
                <w:lang w:bidi="ar-SA"/>
              </w:rPr>
            </w:pPr>
            <w:r w:rsidRPr="00BC01A4">
              <w:rPr>
                <w:sz w:val="20"/>
                <w:szCs w:val="20"/>
              </w:rPr>
              <w:t>FSANZ</w:t>
            </w:r>
            <w:r w:rsidR="00C1368F">
              <w:rPr>
                <w:sz w:val="20"/>
                <w:szCs w:val="20"/>
              </w:rPr>
              <w:t xml:space="preserve"> </w:t>
            </w:r>
            <w:r w:rsidRPr="00BC01A4">
              <w:rPr>
                <w:sz w:val="20"/>
                <w:szCs w:val="20"/>
              </w:rPr>
              <w:t>did not base its safety assessment on</w:t>
            </w:r>
            <w:r w:rsidR="007C0674">
              <w:rPr>
                <w:sz w:val="20"/>
                <w:szCs w:val="20"/>
              </w:rPr>
              <w:t>ly on</w:t>
            </w:r>
            <w:r w:rsidRPr="00BC01A4">
              <w:rPr>
                <w:sz w:val="20"/>
                <w:szCs w:val="20"/>
              </w:rPr>
              <w:t xml:space="preserve"> structural or sequence similarity</w:t>
            </w:r>
            <w:r w:rsidR="007C0674">
              <w:rPr>
                <w:sz w:val="20"/>
                <w:szCs w:val="20"/>
              </w:rPr>
              <w:t xml:space="preserve"> but rather considered the totality of the evidence, which in this case consisted of</w:t>
            </w:r>
            <w:r w:rsidRPr="00BC01A4">
              <w:rPr>
                <w:sz w:val="20"/>
                <w:szCs w:val="20"/>
              </w:rPr>
              <w:t xml:space="preserve"> </w:t>
            </w:r>
            <w:r w:rsidR="00C1368F">
              <w:rPr>
                <w:sz w:val="20"/>
                <w:szCs w:val="20"/>
              </w:rPr>
              <w:t xml:space="preserve">a </w:t>
            </w:r>
            <w:r w:rsidRPr="00BC01A4">
              <w:rPr>
                <w:sz w:val="20"/>
                <w:szCs w:val="20"/>
              </w:rPr>
              <w:t>full molecular</w:t>
            </w:r>
            <w:r w:rsidR="00C1368F">
              <w:rPr>
                <w:sz w:val="20"/>
                <w:szCs w:val="20"/>
              </w:rPr>
              <w:t xml:space="preserve"> characterisation</w:t>
            </w:r>
            <w:r w:rsidRPr="00BC01A4">
              <w:rPr>
                <w:sz w:val="20"/>
                <w:szCs w:val="20"/>
              </w:rPr>
              <w:t xml:space="preserve">, </w:t>
            </w:r>
            <w:r w:rsidR="00C1368F">
              <w:rPr>
                <w:sz w:val="20"/>
                <w:szCs w:val="20"/>
              </w:rPr>
              <w:t xml:space="preserve">assessment of </w:t>
            </w:r>
            <w:r w:rsidRPr="00BC01A4">
              <w:rPr>
                <w:sz w:val="20"/>
                <w:szCs w:val="20"/>
              </w:rPr>
              <w:t>physi</w:t>
            </w:r>
            <w:r w:rsidR="00F174C4">
              <w:rPr>
                <w:sz w:val="20"/>
                <w:szCs w:val="20"/>
              </w:rPr>
              <w:t>c</w:t>
            </w:r>
            <w:r w:rsidRPr="00BC01A4">
              <w:rPr>
                <w:sz w:val="20"/>
                <w:szCs w:val="20"/>
              </w:rPr>
              <w:t>ochemical</w:t>
            </w:r>
            <w:r w:rsidR="00C1368F">
              <w:rPr>
                <w:sz w:val="20"/>
                <w:szCs w:val="20"/>
              </w:rPr>
              <w:t xml:space="preserve"> properties</w:t>
            </w:r>
            <w:r w:rsidRPr="00BC01A4">
              <w:rPr>
                <w:sz w:val="20"/>
                <w:szCs w:val="20"/>
              </w:rPr>
              <w:t>, toxicology, nutritional and dietary intake assessment</w:t>
            </w:r>
            <w:r w:rsidR="00C1368F">
              <w:rPr>
                <w:sz w:val="20"/>
                <w:szCs w:val="20"/>
              </w:rPr>
              <w:t xml:space="preserve">. After considering all the evidence FSANZ </w:t>
            </w:r>
            <w:r w:rsidRPr="00BC01A4">
              <w:rPr>
                <w:sz w:val="20"/>
                <w:szCs w:val="20"/>
              </w:rPr>
              <w:t xml:space="preserve">concluded there are no public health and safety concerns associated with </w:t>
            </w:r>
            <w:r w:rsidR="00C1368F">
              <w:rPr>
                <w:sz w:val="20"/>
                <w:szCs w:val="20"/>
              </w:rPr>
              <w:t xml:space="preserve">the use of LegH </w:t>
            </w:r>
            <w:r w:rsidR="00194665">
              <w:rPr>
                <w:sz w:val="20"/>
                <w:szCs w:val="20"/>
              </w:rPr>
              <w:t>P</w:t>
            </w:r>
            <w:r w:rsidR="00C1368F">
              <w:rPr>
                <w:sz w:val="20"/>
                <w:szCs w:val="20"/>
              </w:rPr>
              <w:t>rep</w:t>
            </w:r>
            <w:r w:rsidR="00C1368F" w:rsidRPr="00BC01A4">
              <w:rPr>
                <w:sz w:val="20"/>
                <w:szCs w:val="20"/>
              </w:rPr>
              <w:t xml:space="preserve"> </w:t>
            </w:r>
            <w:r w:rsidRPr="00BC01A4">
              <w:rPr>
                <w:sz w:val="20"/>
                <w:szCs w:val="20"/>
              </w:rPr>
              <w:t>in meat analogue products at the proposed levels.</w:t>
            </w:r>
          </w:p>
        </w:tc>
      </w:tr>
      <w:tr w:rsidR="00AF19A9" w:rsidRPr="00BA2E47" w14:paraId="09943E85" w14:textId="77777777" w:rsidTr="00544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28D47312" w14:textId="69E6C762" w:rsidR="00A600C1" w:rsidRPr="00F03EC4" w:rsidRDefault="00A600C1" w:rsidP="0052545E">
            <w:pPr>
              <w:pStyle w:val="ListParagraph"/>
              <w:numPr>
                <w:ilvl w:val="0"/>
                <w:numId w:val="8"/>
              </w:numPr>
              <w:ind w:left="29" w:right="-50" w:firstLine="2"/>
              <w:jc w:val="center"/>
              <w:rPr>
                <w:rFonts w:cs="Arial"/>
                <w:szCs w:val="22"/>
              </w:rPr>
            </w:pPr>
          </w:p>
        </w:tc>
        <w:tc>
          <w:tcPr>
            <w:tcW w:w="1557" w:type="pct"/>
          </w:tcPr>
          <w:p w14:paraId="766EE287" w14:textId="77777777" w:rsidR="00A600C1" w:rsidRPr="000C56D1" w:rsidRDefault="00A600C1" w:rsidP="00F2573D">
            <w:pPr>
              <w:spacing w:before="60"/>
              <w:cnfStyle w:val="000000100000" w:firstRow="0" w:lastRow="0" w:firstColumn="0" w:lastColumn="0" w:oddVBand="0" w:evenVBand="0" w:oddHBand="1" w:evenHBand="0" w:firstRowFirstColumn="0" w:firstRowLastColumn="0" w:lastRowFirstColumn="0" w:lastRowLastColumn="0"/>
              <w:rPr>
                <w:rFonts w:cs="Arial"/>
                <w:sz w:val="20"/>
                <w:szCs w:val="20"/>
              </w:rPr>
            </w:pPr>
            <w:r w:rsidRPr="000C56D1">
              <w:rPr>
                <w:rFonts w:cs="Arial"/>
                <w:sz w:val="20"/>
                <w:szCs w:val="20"/>
              </w:rPr>
              <w:t>FSANZ has not considered herbicide use for the genetically modified soy protein component of Impossible Burgers</w:t>
            </w:r>
          </w:p>
          <w:p w14:paraId="794F3851" w14:textId="77777777" w:rsidR="00A600C1" w:rsidRPr="000C56D1" w:rsidRDefault="00A600C1" w:rsidP="00A600C1">
            <w:pPr>
              <w:ind w:left="87" w:right="135" w:hanging="87"/>
              <w:cnfStyle w:val="000000100000" w:firstRow="0" w:lastRow="0" w:firstColumn="0" w:lastColumn="0" w:oddVBand="0" w:evenVBand="0" w:oddHBand="1" w:evenHBand="0" w:firstRowFirstColumn="0" w:firstRowLastColumn="0" w:lastRowFirstColumn="0" w:lastRowLastColumn="0"/>
              <w:rPr>
                <w:rFonts w:cs="Arial"/>
                <w:b/>
                <w:sz w:val="20"/>
                <w:szCs w:val="20"/>
              </w:rPr>
            </w:pPr>
          </w:p>
        </w:tc>
        <w:tc>
          <w:tcPr>
            <w:tcW w:w="780" w:type="pct"/>
          </w:tcPr>
          <w:p w14:paraId="6F30749F" w14:textId="4149B301" w:rsidR="00A600C1" w:rsidRPr="000C56D1" w:rsidRDefault="00BC01A4" w:rsidP="00F2573D">
            <w:pPr>
              <w:spacing w:before="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Consumer organisation (3)</w:t>
            </w:r>
          </w:p>
        </w:tc>
        <w:tc>
          <w:tcPr>
            <w:tcW w:w="2518" w:type="pct"/>
          </w:tcPr>
          <w:p w14:paraId="58657CD1" w14:textId="7718FA08" w:rsidR="00A600C1" w:rsidRDefault="00A600C1" w:rsidP="00F2573D">
            <w:pPr>
              <w:spacing w:before="60" w:after="120"/>
              <w:ind w:right="136"/>
              <w:cnfStyle w:val="000000100000" w:firstRow="0" w:lastRow="0" w:firstColumn="0" w:lastColumn="0" w:oddVBand="0" w:evenVBand="0" w:oddHBand="1" w:evenHBand="0" w:firstRowFirstColumn="0" w:firstRowLastColumn="0" w:lastRowFirstColumn="0" w:lastRowLastColumn="0"/>
              <w:rPr>
                <w:sz w:val="20"/>
                <w:szCs w:val="20"/>
              </w:rPr>
            </w:pPr>
            <w:r w:rsidRPr="000C56D1">
              <w:rPr>
                <w:sz w:val="20"/>
                <w:szCs w:val="20"/>
              </w:rPr>
              <w:t xml:space="preserve">In the assessment of the LegH </w:t>
            </w:r>
            <w:r w:rsidR="00194665">
              <w:rPr>
                <w:sz w:val="20"/>
                <w:szCs w:val="20"/>
              </w:rPr>
              <w:t>P</w:t>
            </w:r>
            <w:r w:rsidR="00194665" w:rsidRPr="000C56D1">
              <w:rPr>
                <w:sz w:val="20"/>
                <w:szCs w:val="20"/>
              </w:rPr>
              <w:t>rep</w:t>
            </w:r>
            <w:r w:rsidRPr="000C56D1">
              <w:rPr>
                <w:sz w:val="20"/>
                <w:szCs w:val="20"/>
              </w:rPr>
              <w:t xml:space="preserve">, there was no requirement to assess the herbicide use in the potential meat-analogue products that may contain LegH. The LegH </w:t>
            </w:r>
            <w:r w:rsidR="00194665">
              <w:rPr>
                <w:sz w:val="20"/>
                <w:szCs w:val="20"/>
              </w:rPr>
              <w:t>P</w:t>
            </w:r>
            <w:r w:rsidR="00194665" w:rsidRPr="000C56D1">
              <w:rPr>
                <w:sz w:val="20"/>
                <w:szCs w:val="20"/>
              </w:rPr>
              <w:t xml:space="preserve">rep </w:t>
            </w:r>
            <w:r w:rsidRPr="000C56D1">
              <w:rPr>
                <w:sz w:val="20"/>
                <w:szCs w:val="20"/>
              </w:rPr>
              <w:t xml:space="preserve">is produced by a fermentation process, where herbicides are not used. </w:t>
            </w:r>
          </w:p>
          <w:p w14:paraId="30F6DD4A" w14:textId="2122FA61" w:rsidR="00A600C1" w:rsidRPr="000C56D1" w:rsidRDefault="00A600C1" w:rsidP="001734D6">
            <w:pPr>
              <w:pStyle w:val="FSTableText"/>
              <w:spacing w:before="46" w:after="240"/>
              <w:cnfStyle w:val="000000100000" w:firstRow="0" w:lastRow="0" w:firstColumn="0" w:lastColumn="0" w:oddVBand="0" w:evenVBand="0" w:oddHBand="1" w:evenHBand="0" w:firstRowFirstColumn="0" w:firstRowLastColumn="0" w:lastRowFirstColumn="0" w:lastRowLastColumn="0"/>
              <w:rPr>
                <w:color w:val="000000" w:themeColor="text1"/>
              </w:rPr>
            </w:pPr>
            <w:r w:rsidRPr="000C56D1">
              <w:t xml:space="preserve">If a protein concentrate to be used in the meat analogue products is sourced from herbicide-tolerant soybean, whether non-genetically modified or genetically modified, the Code already mandates maximum residue limits of Agvet chemicals, including herbicides, through Standard 1.4.2. Furthermore, </w:t>
            </w:r>
            <w:r w:rsidR="007B1DA3" w:rsidRPr="000C56D1">
              <w:t xml:space="preserve">if </w:t>
            </w:r>
            <w:r w:rsidRPr="000C56D1">
              <w:t xml:space="preserve">the applicant sources the protein component from a genetically-modified </w:t>
            </w:r>
            <w:r w:rsidRPr="000C56D1">
              <w:lastRenderedPageBreak/>
              <w:t>soybean in the products for sale in Australia and New Zealand, they can only use soybean products approved by FSANZ and listed in Schedule 26.</w:t>
            </w:r>
          </w:p>
        </w:tc>
      </w:tr>
      <w:tr w:rsidR="00BC01A4" w:rsidRPr="00BA2E47" w14:paraId="52326878" w14:textId="77777777" w:rsidTr="0052545E">
        <w:tc>
          <w:tcPr>
            <w:cnfStyle w:val="001000000000" w:firstRow="0" w:lastRow="0" w:firstColumn="1" w:lastColumn="0" w:oddVBand="0" w:evenVBand="0" w:oddHBand="0" w:evenHBand="0" w:firstRowFirstColumn="0" w:firstRowLastColumn="0" w:lastRowFirstColumn="0" w:lastRowLastColumn="0"/>
            <w:tcW w:w="145" w:type="pct"/>
            <w:vAlign w:val="center"/>
          </w:tcPr>
          <w:p w14:paraId="6E45D6E1" w14:textId="77777777" w:rsidR="00BC01A4" w:rsidRPr="00A600C1" w:rsidRDefault="00BC01A4" w:rsidP="0052545E">
            <w:pPr>
              <w:spacing w:before="240" w:after="240"/>
              <w:ind w:left="29" w:right="-50" w:firstLine="2"/>
              <w:jc w:val="center"/>
              <w:rPr>
                <w:rFonts w:cs="Arial"/>
                <w:sz w:val="20"/>
                <w:szCs w:val="20"/>
              </w:rPr>
            </w:pPr>
          </w:p>
        </w:tc>
        <w:tc>
          <w:tcPr>
            <w:tcW w:w="4855" w:type="pct"/>
            <w:gridSpan w:val="3"/>
          </w:tcPr>
          <w:p w14:paraId="75763093" w14:textId="4AF2C891" w:rsidR="00BC01A4" w:rsidRDefault="00BC01A4" w:rsidP="009C7588">
            <w:pPr>
              <w:pStyle w:val="FSTableText"/>
              <w:spacing w:before="240" w:after="240"/>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174FA7">
              <w:rPr>
                <w:b/>
                <w:sz w:val="24"/>
              </w:rPr>
              <w:t xml:space="preserve">Safety and Technical data – </w:t>
            </w:r>
            <w:r>
              <w:rPr>
                <w:b/>
                <w:sz w:val="24"/>
              </w:rPr>
              <w:t>Toxicology</w:t>
            </w:r>
            <w:r w:rsidRPr="00174FA7">
              <w:rPr>
                <w:b/>
                <w:sz w:val="24"/>
              </w:rPr>
              <w:t xml:space="preserve"> assessment</w:t>
            </w:r>
          </w:p>
        </w:tc>
      </w:tr>
      <w:tr w:rsidR="006E0575" w:rsidRPr="00BA2E47" w14:paraId="22F9FF0B" w14:textId="77777777" w:rsidTr="00525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39259222" w14:textId="77777777" w:rsidR="006E0575" w:rsidRPr="00A600C1" w:rsidRDefault="006E0575" w:rsidP="0052545E">
            <w:pPr>
              <w:spacing w:before="240" w:after="240"/>
              <w:ind w:left="29" w:right="-50" w:firstLine="2"/>
              <w:jc w:val="center"/>
              <w:rPr>
                <w:rFonts w:cs="Arial"/>
                <w:sz w:val="20"/>
                <w:szCs w:val="20"/>
              </w:rPr>
            </w:pPr>
          </w:p>
        </w:tc>
        <w:tc>
          <w:tcPr>
            <w:tcW w:w="4855" w:type="pct"/>
            <w:gridSpan w:val="3"/>
          </w:tcPr>
          <w:p w14:paraId="7163F6A5" w14:textId="163E1B9E" w:rsidR="006E0575" w:rsidRPr="00174FA7" w:rsidRDefault="006E0575" w:rsidP="004768CB">
            <w:pPr>
              <w:tabs>
                <w:tab w:val="left" w:pos="890"/>
              </w:tabs>
              <w:cnfStyle w:val="000000100000" w:firstRow="0" w:lastRow="0" w:firstColumn="0" w:lastColumn="0" w:oddVBand="0" w:evenVBand="0" w:oddHBand="1" w:evenHBand="0" w:firstRowFirstColumn="0" w:firstRowLastColumn="0" w:lastRowFirstColumn="0" w:lastRowLastColumn="0"/>
              <w:rPr>
                <w:b/>
                <w:sz w:val="24"/>
              </w:rPr>
            </w:pPr>
            <w:r>
              <w:rPr>
                <w:sz w:val="20"/>
                <w:szCs w:val="22"/>
              </w:rPr>
              <w:t>Several submissions relating to the toxicology assessment were received. No new or substantive scientific evidence was provided that would change the conclusions of FSANZ’s evaluation</w:t>
            </w:r>
            <w:r w:rsidR="004768CB">
              <w:rPr>
                <w:sz w:val="20"/>
                <w:szCs w:val="22"/>
              </w:rPr>
              <w:t xml:space="preserve"> of the safety of soy leghemoglobin</w:t>
            </w:r>
            <w:r>
              <w:rPr>
                <w:sz w:val="20"/>
                <w:szCs w:val="22"/>
              </w:rPr>
              <w:t>.</w:t>
            </w:r>
            <w:r w:rsidR="004768CB">
              <w:t xml:space="preserve"> </w:t>
            </w:r>
          </w:p>
        </w:tc>
      </w:tr>
      <w:tr w:rsidR="00AF19A9" w:rsidRPr="00BA2E47" w14:paraId="2F77A1CA" w14:textId="77777777" w:rsidTr="005440CC">
        <w:tc>
          <w:tcPr>
            <w:cnfStyle w:val="001000000000" w:firstRow="0" w:lastRow="0" w:firstColumn="1" w:lastColumn="0" w:oddVBand="0" w:evenVBand="0" w:oddHBand="0" w:evenHBand="0" w:firstRowFirstColumn="0" w:firstRowLastColumn="0" w:lastRowFirstColumn="0" w:lastRowLastColumn="0"/>
            <w:tcW w:w="145" w:type="pct"/>
            <w:vAlign w:val="center"/>
          </w:tcPr>
          <w:p w14:paraId="7CE54426" w14:textId="77777777" w:rsidR="00A600C1" w:rsidRPr="00AD3D64" w:rsidRDefault="00A600C1" w:rsidP="0052545E">
            <w:pPr>
              <w:pStyle w:val="ListParagraph"/>
              <w:numPr>
                <w:ilvl w:val="0"/>
                <w:numId w:val="8"/>
              </w:numPr>
              <w:ind w:left="29" w:right="-50" w:firstLine="2"/>
              <w:jc w:val="center"/>
              <w:rPr>
                <w:rFonts w:cs="Arial"/>
                <w:b w:val="0"/>
                <w:bCs w:val="0"/>
                <w:sz w:val="20"/>
                <w:szCs w:val="20"/>
              </w:rPr>
            </w:pPr>
          </w:p>
        </w:tc>
        <w:tc>
          <w:tcPr>
            <w:tcW w:w="1557" w:type="pct"/>
          </w:tcPr>
          <w:p w14:paraId="02746509" w14:textId="6D6BA63D" w:rsidR="00A600C1" w:rsidRPr="00AD3D64" w:rsidRDefault="00A600C1" w:rsidP="000C56D1">
            <w:pPr>
              <w:spacing w:before="46"/>
              <w:ind w:right="135"/>
              <w:cnfStyle w:val="000000000000" w:firstRow="0" w:lastRow="0" w:firstColumn="0" w:lastColumn="0" w:oddVBand="0" w:evenVBand="0" w:oddHBand="0" w:evenHBand="0" w:firstRowFirstColumn="0" w:firstRowLastColumn="0" w:lastRowFirstColumn="0" w:lastRowLastColumn="0"/>
              <w:rPr>
                <w:rFonts w:cs="Arial"/>
                <w:sz w:val="20"/>
                <w:szCs w:val="22"/>
              </w:rPr>
            </w:pPr>
            <w:r w:rsidRPr="00AD3D64">
              <w:rPr>
                <w:rFonts w:cs="Arial"/>
                <w:sz w:val="20"/>
                <w:szCs w:val="22"/>
              </w:rPr>
              <w:t>Rats in the feeding study showed statistically significant changes in some measures. Why were these considered of ‘no toxicological relevance’?</w:t>
            </w:r>
            <w:r w:rsidRPr="00AD3D64">
              <w:rPr>
                <w:sz w:val="20"/>
                <w:szCs w:val="22"/>
              </w:rPr>
              <w:t xml:space="preserve"> </w:t>
            </w:r>
          </w:p>
        </w:tc>
        <w:tc>
          <w:tcPr>
            <w:tcW w:w="780" w:type="pct"/>
          </w:tcPr>
          <w:p w14:paraId="4654CE3B" w14:textId="1193F292" w:rsidR="00A600C1" w:rsidRPr="000C56D1" w:rsidRDefault="00BC01A4" w:rsidP="00E25726">
            <w:pPr>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Primary production organisation (1); Consumer organisation (2)</w:t>
            </w:r>
            <w:r w:rsidR="00A600C1" w:rsidRPr="000C56D1">
              <w:rPr>
                <w:sz w:val="20"/>
                <w:szCs w:val="22"/>
              </w:rPr>
              <w:t xml:space="preserve"> </w:t>
            </w:r>
            <w:r>
              <w:rPr>
                <w:sz w:val="20"/>
                <w:szCs w:val="22"/>
              </w:rPr>
              <w:t>Individual</w:t>
            </w:r>
            <w:r w:rsidR="00A600C1" w:rsidRPr="000C56D1">
              <w:rPr>
                <w:sz w:val="20"/>
                <w:szCs w:val="22"/>
              </w:rPr>
              <w:t xml:space="preserve"> </w:t>
            </w:r>
            <w:r>
              <w:rPr>
                <w:sz w:val="20"/>
                <w:szCs w:val="22"/>
              </w:rPr>
              <w:t>submitters (2)</w:t>
            </w:r>
          </w:p>
        </w:tc>
        <w:tc>
          <w:tcPr>
            <w:tcW w:w="2518" w:type="pct"/>
          </w:tcPr>
          <w:p w14:paraId="00E05C38" w14:textId="77777777" w:rsidR="00A600C1" w:rsidRPr="00AD3D64" w:rsidRDefault="00A600C1" w:rsidP="00A600C1">
            <w:pPr>
              <w:tabs>
                <w:tab w:val="left" w:pos="890"/>
              </w:tabs>
              <w:cnfStyle w:val="000000000000" w:firstRow="0" w:lastRow="0" w:firstColumn="0" w:lastColumn="0" w:oddVBand="0" w:evenVBand="0" w:oddHBand="0" w:evenHBand="0" w:firstRowFirstColumn="0" w:firstRowLastColumn="0" w:lastRowFirstColumn="0" w:lastRowLastColumn="0"/>
              <w:rPr>
                <w:sz w:val="20"/>
                <w:szCs w:val="22"/>
              </w:rPr>
            </w:pPr>
            <w:r w:rsidRPr="00AD3D64">
              <w:rPr>
                <w:sz w:val="20"/>
                <w:szCs w:val="22"/>
              </w:rPr>
              <w:t xml:space="preserve">Statistically significant changes are frequently observed in toxicity studies but these do not necessarily represent test article-related effects. Such changes may be due to normal variability between individual animals. Considerations that are taken into account in determining whether differences between control and treated groups are due to the test article, and whether such differences are adverse, include the magnitude of change, whether effects show a dose-response, consistency over time and between sexes, correlation with clinical observations, correlation with other clinical pathology and histopathologic observations and comparison with historical control ranges. </w:t>
            </w:r>
          </w:p>
          <w:p w14:paraId="3A3E914F" w14:textId="77777777" w:rsidR="00A600C1" w:rsidRPr="003B5AC6" w:rsidRDefault="00A600C1" w:rsidP="00A600C1">
            <w:pPr>
              <w:tabs>
                <w:tab w:val="left" w:pos="890"/>
              </w:tabs>
              <w:cnfStyle w:val="000000000000" w:firstRow="0" w:lastRow="0" w:firstColumn="0" w:lastColumn="0" w:oddVBand="0" w:evenVBand="0" w:oddHBand="0" w:evenHBand="0" w:firstRowFirstColumn="0" w:firstRowLastColumn="0" w:lastRowFirstColumn="0" w:lastRowLastColumn="0"/>
              <w:rPr>
                <w:sz w:val="20"/>
                <w:szCs w:val="22"/>
              </w:rPr>
            </w:pPr>
          </w:p>
          <w:p w14:paraId="3E787D9C" w14:textId="0D5949B0" w:rsidR="00A600C1" w:rsidRPr="000C56D1" w:rsidRDefault="00A600C1" w:rsidP="00795AC6">
            <w:pPr>
              <w:pStyle w:val="FSTableText"/>
              <w:spacing w:before="46" w:after="240"/>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BB79AF">
              <w:rPr>
                <w:szCs w:val="22"/>
              </w:rPr>
              <w:t>In the case of the statistically significant differences observed in the 28-day study with LegH Prep, these were not considered to be treatment-related as they were of a small magn</w:t>
            </w:r>
            <w:r w:rsidRPr="00D817EC">
              <w:rPr>
                <w:szCs w:val="22"/>
              </w:rPr>
              <w:t>itude, did not show a dose-response, were only seen in one sex and were not accompanied by other correlated pathological changes.</w:t>
            </w:r>
          </w:p>
        </w:tc>
      </w:tr>
      <w:tr w:rsidR="00AF19A9" w:rsidRPr="00BA2E47" w14:paraId="5B18CC79" w14:textId="77777777" w:rsidTr="00544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72DC70EB" w14:textId="2C57C316" w:rsidR="00A600C1" w:rsidRPr="00AD3D64" w:rsidRDefault="00A600C1" w:rsidP="0052545E">
            <w:pPr>
              <w:pStyle w:val="ListParagraph"/>
              <w:numPr>
                <w:ilvl w:val="0"/>
                <w:numId w:val="8"/>
              </w:numPr>
              <w:ind w:left="29" w:right="-50" w:firstLine="2"/>
              <w:jc w:val="center"/>
              <w:rPr>
                <w:rFonts w:cs="Arial"/>
                <w:b w:val="0"/>
                <w:bCs w:val="0"/>
                <w:sz w:val="20"/>
                <w:szCs w:val="20"/>
              </w:rPr>
            </w:pPr>
          </w:p>
        </w:tc>
        <w:tc>
          <w:tcPr>
            <w:tcW w:w="1557" w:type="pct"/>
          </w:tcPr>
          <w:p w14:paraId="0DE4DCDD" w14:textId="1B40449B" w:rsidR="00A600C1" w:rsidRPr="00BC01A4" w:rsidRDefault="00A600C1" w:rsidP="00BC01A4">
            <w:pPr>
              <w:cnfStyle w:val="000000100000" w:firstRow="0" w:lastRow="0" w:firstColumn="0" w:lastColumn="0" w:oddVBand="0" w:evenVBand="0" w:oddHBand="1" w:evenHBand="0" w:firstRowFirstColumn="0" w:firstRowLastColumn="0" w:lastRowFirstColumn="0" w:lastRowLastColumn="0"/>
              <w:rPr>
                <w:sz w:val="20"/>
              </w:rPr>
            </w:pPr>
            <w:r w:rsidRPr="00BC01A4">
              <w:rPr>
                <w:sz w:val="20"/>
              </w:rPr>
              <w:t>The feeding studies do not reflect human consumption patterns, involve small sample numbers and are of too short a duration.</w:t>
            </w:r>
          </w:p>
        </w:tc>
        <w:tc>
          <w:tcPr>
            <w:tcW w:w="780" w:type="pct"/>
          </w:tcPr>
          <w:p w14:paraId="1FF9B692" w14:textId="59B7D195" w:rsidR="00A600C1" w:rsidRPr="00BC01A4" w:rsidRDefault="00081EB9" w:rsidP="001951DD">
            <w:pPr>
              <w:cnfStyle w:val="000000100000" w:firstRow="0" w:lastRow="0" w:firstColumn="0" w:lastColumn="0" w:oddVBand="0" w:evenVBand="0" w:oddHBand="1" w:evenHBand="0" w:firstRowFirstColumn="0" w:firstRowLastColumn="0" w:lastRowFirstColumn="0" w:lastRowLastColumn="0"/>
              <w:rPr>
                <w:sz w:val="20"/>
              </w:rPr>
            </w:pPr>
            <w:r w:rsidRPr="00BC01A4">
              <w:rPr>
                <w:rFonts w:cs="Arial"/>
                <w:sz w:val="20"/>
                <w:szCs w:val="20"/>
              </w:rPr>
              <w:t>Government (1)</w:t>
            </w:r>
            <w:r w:rsidR="00A600C1" w:rsidRPr="00BC01A4">
              <w:rPr>
                <w:sz w:val="20"/>
              </w:rPr>
              <w:t xml:space="preserve">; </w:t>
            </w:r>
            <w:r w:rsidR="001951DD">
              <w:rPr>
                <w:sz w:val="20"/>
              </w:rPr>
              <w:t>Primary production organisation (1); Consumer organisations (4)</w:t>
            </w:r>
          </w:p>
        </w:tc>
        <w:tc>
          <w:tcPr>
            <w:tcW w:w="2518" w:type="pct"/>
          </w:tcPr>
          <w:p w14:paraId="3C5EA9D3" w14:textId="77777777" w:rsidR="005E1CB3" w:rsidRDefault="00A600C1" w:rsidP="00BC01A4">
            <w:pPr>
              <w:cnfStyle w:val="000000100000" w:firstRow="0" w:lastRow="0" w:firstColumn="0" w:lastColumn="0" w:oddVBand="0" w:evenVBand="0" w:oddHBand="1" w:evenHBand="0" w:firstRowFirstColumn="0" w:firstRowLastColumn="0" w:lastRowFirstColumn="0" w:lastRowLastColumn="0"/>
              <w:rPr>
                <w:sz w:val="20"/>
              </w:rPr>
            </w:pPr>
            <w:r w:rsidRPr="00BC01A4">
              <w:rPr>
                <w:sz w:val="20"/>
              </w:rPr>
              <w:t>In the toxicity studies with LegH Prep, the test substance was administered as part of the animals' diet. This method of administration is standard practice in oral toxicity studies and is considered representative of dietary exposure to LegH Prep from food.</w:t>
            </w:r>
          </w:p>
          <w:p w14:paraId="5FCF8A8D" w14:textId="2D154DA3" w:rsidR="00A600C1" w:rsidRPr="00BC01A4" w:rsidRDefault="00A600C1" w:rsidP="00BC01A4">
            <w:pPr>
              <w:cnfStyle w:val="000000100000" w:firstRow="0" w:lastRow="0" w:firstColumn="0" w:lastColumn="0" w:oddVBand="0" w:evenVBand="0" w:oddHBand="1" w:evenHBand="0" w:firstRowFirstColumn="0" w:firstRowLastColumn="0" w:lastRowFirstColumn="0" w:lastRowLastColumn="0"/>
              <w:rPr>
                <w:sz w:val="20"/>
              </w:rPr>
            </w:pPr>
          </w:p>
          <w:p w14:paraId="38033B8F" w14:textId="77777777" w:rsidR="00A600C1" w:rsidRPr="00BC01A4" w:rsidRDefault="00A600C1" w:rsidP="00BC01A4">
            <w:pPr>
              <w:cnfStyle w:val="000000100000" w:firstRow="0" w:lastRow="0" w:firstColumn="0" w:lastColumn="0" w:oddVBand="0" w:evenVBand="0" w:oddHBand="1" w:evenHBand="0" w:firstRowFirstColumn="0" w:firstRowLastColumn="0" w:lastRowFirstColumn="0" w:lastRowLastColumn="0"/>
              <w:rPr>
                <w:sz w:val="20"/>
              </w:rPr>
            </w:pPr>
            <w:r w:rsidRPr="00BC01A4">
              <w:rPr>
                <w:sz w:val="20"/>
              </w:rPr>
              <w:t>With respect to sample sizes, in the 14-day study 6 males and 6 females were used at each dose level, while in the 28-day study 10 males and 10 females were used at each dose. In the investigative 28-day study in female rats, 15 animals were used per dose groups. These numbers are all higher than those recommended in the OECD Test Guideline for 28-day toxicity studies (5/sex/group) and therefore considered to be adequate.</w:t>
            </w:r>
          </w:p>
          <w:p w14:paraId="6F10ABD9" w14:textId="77777777" w:rsidR="00A600C1" w:rsidRPr="00BC01A4" w:rsidRDefault="00A600C1" w:rsidP="00BC01A4">
            <w:pPr>
              <w:cnfStyle w:val="000000100000" w:firstRow="0" w:lastRow="0" w:firstColumn="0" w:lastColumn="0" w:oddVBand="0" w:evenVBand="0" w:oddHBand="1" w:evenHBand="0" w:firstRowFirstColumn="0" w:firstRowLastColumn="0" w:lastRowFirstColumn="0" w:lastRowLastColumn="0"/>
              <w:rPr>
                <w:sz w:val="20"/>
              </w:rPr>
            </w:pPr>
          </w:p>
          <w:p w14:paraId="49DDBFED" w14:textId="048C049F" w:rsidR="00A600C1" w:rsidRPr="00BC01A4" w:rsidRDefault="00A600C1" w:rsidP="00DA334B">
            <w:pPr>
              <w:spacing w:after="240"/>
              <w:cnfStyle w:val="000000100000" w:firstRow="0" w:lastRow="0" w:firstColumn="0" w:lastColumn="0" w:oddVBand="0" w:evenVBand="0" w:oddHBand="1" w:evenHBand="0" w:firstRowFirstColumn="0" w:firstRowLastColumn="0" w:lastRowFirstColumn="0" w:lastRowLastColumn="0"/>
              <w:rPr>
                <w:sz w:val="20"/>
              </w:rPr>
            </w:pPr>
            <w:r w:rsidRPr="00BC01A4">
              <w:rPr>
                <w:sz w:val="20"/>
              </w:rPr>
              <w:t xml:space="preserve">Proteins known to be toxic to mammals generally cause acute toxicity, so further testing of LegH Prep in a 90-day study would not be justified given it is rapidly digested and showed no toxicity in the 28-day study. </w:t>
            </w:r>
          </w:p>
        </w:tc>
      </w:tr>
      <w:tr w:rsidR="00AF19A9" w:rsidRPr="00BA2E47" w14:paraId="418EFF81" w14:textId="77777777" w:rsidTr="005440CC">
        <w:trPr>
          <w:cantSplit/>
        </w:trPr>
        <w:tc>
          <w:tcPr>
            <w:cnfStyle w:val="001000000000" w:firstRow="0" w:lastRow="0" w:firstColumn="1" w:lastColumn="0" w:oddVBand="0" w:evenVBand="0" w:oddHBand="0" w:evenHBand="0" w:firstRowFirstColumn="0" w:firstRowLastColumn="0" w:lastRowFirstColumn="0" w:lastRowLastColumn="0"/>
            <w:tcW w:w="145" w:type="pct"/>
            <w:vAlign w:val="center"/>
          </w:tcPr>
          <w:p w14:paraId="475167C9" w14:textId="2C801E78" w:rsidR="00A600C1" w:rsidRPr="00AD3D64" w:rsidRDefault="00A600C1" w:rsidP="0052545E">
            <w:pPr>
              <w:pStyle w:val="ListParagraph"/>
              <w:numPr>
                <w:ilvl w:val="0"/>
                <w:numId w:val="8"/>
              </w:numPr>
              <w:ind w:left="29" w:right="-50" w:firstLine="2"/>
              <w:jc w:val="center"/>
              <w:rPr>
                <w:rFonts w:cs="Arial"/>
                <w:b w:val="0"/>
                <w:bCs w:val="0"/>
                <w:sz w:val="20"/>
                <w:szCs w:val="20"/>
              </w:rPr>
            </w:pPr>
          </w:p>
        </w:tc>
        <w:tc>
          <w:tcPr>
            <w:tcW w:w="1557" w:type="pct"/>
          </w:tcPr>
          <w:p w14:paraId="19076416" w14:textId="7EEAF1A7" w:rsidR="00A600C1" w:rsidRPr="00AD3D64" w:rsidRDefault="00544B32" w:rsidP="00C36E96">
            <w:pPr>
              <w:spacing w:before="60"/>
              <w:ind w:right="136"/>
              <w:cnfStyle w:val="000000000000" w:firstRow="0" w:lastRow="0" w:firstColumn="0" w:lastColumn="0" w:oddVBand="0" w:evenVBand="0" w:oddHBand="0" w:evenHBand="0" w:firstRowFirstColumn="0" w:firstRowLastColumn="0" w:lastRowFirstColumn="0" w:lastRowLastColumn="0"/>
              <w:rPr>
                <w:sz w:val="20"/>
                <w:szCs w:val="22"/>
              </w:rPr>
            </w:pPr>
            <w:r>
              <w:rPr>
                <w:color w:val="000000" w:themeColor="text1"/>
                <w:sz w:val="20"/>
                <w:szCs w:val="22"/>
              </w:rPr>
              <w:t>Séralini</w:t>
            </w:r>
            <w:r w:rsidR="00A600C1" w:rsidRPr="00AD3D64">
              <w:rPr>
                <w:color w:val="000000" w:themeColor="text1"/>
                <w:sz w:val="20"/>
                <w:szCs w:val="22"/>
              </w:rPr>
              <w:t>’s animal studies showing concerning results of glyphosate exposure has been criticised and dismissed. Why has FSANZ accepted the studies on soy leghemoglobin without similar criticisms?</w:t>
            </w:r>
          </w:p>
        </w:tc>
        <w:tc>
          <w:tcPr>
            <w:tcW w:w="780" w:type="pct"/>
          </w:tcPr>
          <w:p w14:paraId="4B976035" w14:textId="08945E2E" w:rsidR="00A600C1" w:rsidRPr="00AD3D64" w:rsidRDefault="001951DD" w:rsidP="00C36E96">
            <w:pPr>
              <w:spacing w:before="60"/>
              <w:ind w:right="136"/>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Individual submitter (1)</w:t>
            </w:r>
          </w:p>
        </w:tc>
        <w:tc>
          <w:tcPr>
            <w:tcW w:w="2518" w:type="pct"/>
          </w:tcPr>
          <w:p w14:paraId="08B76FE8" w14:textId="0ADF39D6" w:rsidR="00F03EC4" w:rsidRPr="00AD3D64" w:rsidRDefault="00A600C1" w:rsidP="00F2573D">
            <w:pPr>
              <w:spacing w:before="60" w:after="120"/>
              <w:cnfStyle w:val="000000000000" w:firstRow="0" w:lastRow="0" w:firstColumn="0" w:lastColumn="0" w:oddVBand="0" w:evenVBand="0" w:oddHBand="0" w:evenHBand="0" w:firstRowFirstColumn="0" w:firstRowLastColumn="0" w:lastRowFirstColumn="0" w:lastRowLastColumn="0"/>
              <w:rPr>
                <w:sz w:val="20"/>
                <w:szCs w:val="22"/>
              </w:rPr>
            </w:pPr>
            <w:r w:rsidRPr="00AD3D64">
              <w:rPr>
                <w:sz w:val="20"/>
                <w:szCs w:val="22"/>
              </w:rPr>
              <w:t xml:space="preserve">The </w:t>
            </w:r>
            <w:r w:rsidR="00544B32">
              <w:rPr>
                <w:sz w:val="20"/>
                <w:szCs w:val="22"/>
              </w:rPr>
              <w:t>Séralini</w:t>
            </w:r>
            <w:r w:rsidRPr="00AD3D64">
              <w:rPr>
                <w:sz w:val="20"/>
                <w:szCs w:val="22"/>
              </w:rPr>
              <w:t xml:space="preserve"> study (</w:t>
            </w:r>
            <w:r w:rsidR="00544B32">
              <w:rPr>
                <w:sz w:val="20"/>
                <w:szCs w:val="22"/>
              </w:rPr>
              <w:t>Séralini</w:t>
            </w:r>
            <w:r w:rsidRPr="00AD3D64">
              <w:rPr>
                <w:sz w:val="20"/>
                <w:szCs w:val="22"/>
              </w:rPr>
              <w:t xml:space="preserve"> et al. 2012 RETRACTED) had a number of methodological limitations, outlined in the FSANZ </w:t>
            </w:r>
            <w:hyperlink r:id="rId27" w:history="1">
              <w:r w:rsidRPr="000C56D1">
                <w:rPr>
                  <w:rStyle w:val="Hyperlink"/>
                  <w:i/>
                  <w:sz w:val="20"/>
                  <w:szCs w:val="22"/>
                </w:rPr>
                <w:t>Response to studies cited as evidence of adverse effects from GM foods</w:t>
              </w:r>
            </w:hyperlink>
            <w:r w:rsidRPr="000C56D1">
              <w:rPr>
                <w:rStyle w:val="FootnoteReference"/>
                <w:i/>
                <w:sz w:val="20"/>
                <w:szCs w:val="22"/>
              </w:rPr>
              <w:footnoteReference w:id="12"/>
            </w:r>
            <w:r w:rsidRPr="00AD3D64">
              <w:rPr>
                <w:sz w:val="20"/>
                <w:szCs w:val="22"/>
              </w:rPr>
              <w:t xml:space="preserve">. When the appropriate methods were used, the results obtained by </w:t>
            </w:r>
            <w:r w:rsidR="00544B32">
              <w:rPr>
                <w:sz w:val="20"/>
                <w:szCs w:val="22"/>
              </w:rPr>
              <w:t>Séralini</w:t>
            </w:r>
            <w:r w:rsidRPr="00AD3D64">
              <w:rPr>
                <w:sz w:val="20"/>
                <w:szCs w:val="22"/>
              </w:rPr>
              <w:t xml:space="preserve"> were not replicated (Coumoul et al. 2019; Steinberg et al. 2019), further indicating the limitations of the results obtaining in the </w:t>
            </w:r>
            <w:r w:rsidR="00544B32">
              <w:rPr>
                <w:sz w:val="20"/>
                <w:szCs w:val="22"/>
              </w:rPr>
              <w:t>Séralini</w:t>
            </w:r>
            <w:r w:rsidRPr="00AD3D64">
              <w:rPr>
                <w:sz w:val="20"/>
                <w:szCs w:val="22"/>
              </w:rPr>
              <w:t xml:space="preserve"> study.</w:t>
            </w:r>
          </w:p>
          <w:p w14:paraId="09529E49" w14:textId="3E67BB10" w:rsidR="00A600C1" w:rsidRPr="00AD3D64" w:rsidRDefault="00A600C1" w:rsidP="00DA334B">
            <w:pPr>
              <w:spacing w:after="240"/>
              <w:ind w:left="34" w:hanging="34"/>
              <w:cnfStyle w:val="000000000000" w:firstRow="0" w:lastRow="0" w:firstColumn="0" w:lastColumn="0" w:oddVBand="0" w:evenVBand="0" w:oddHBand="0" w:evenHBand="0" w:firstRowFirstColumn="0" w:firstRowLastColumn="0" w:lastRowFirstColumn="0" w:lastRowLastColumn="0"/>
              <w:rPr>
                <w:sz w:val="20"/>
                <w:szCs w:val="22"/>
              </w:rPr>
            </w:pPr>
            <w:r w:rsidRPr="00AD3D64">
              <w:rPr>
                <w:sz w:val="20"/>
                <w:szCs w:val="22"/>
              </w:rPr>
              <w:t xml:space="preserve">The studies provided to FSANZ for LegH Prep were conducted using accepted methodologies, in accordance with principles of Good Laboratory Practice and in accordance with internationally accepted OECD Test Guidelines. FSANZ also independently reviewed the quality of the studies and considers them suitable for regulatory purposes. </w:t>
            </w:r>
          </w:p>
        </w:tc>
      </w:tr>
      <w:tr w:rsidR="00AF19A9" w:rsidRPr="00BA2E47" w14:paraId="38E74E3F" w14:textId="77777777" w:rsidTr="00544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3F1BA03C" w14:textId="4F777FE4" w:rsidR="00A600C1" w:rsidRPr="006361EE" w:rsidRDefault="00A600C1" w:rsidP="0052545E">
            <w:pPr>
              <w:pStyle w:val="ListParagraph"/>
              <w:numPr>
                <w:ilvl w:val="0"/>
                <w:numId w:val="8"/>
              </w:numPr>
              <w:ind w:left="29" w:right="-50" w:firstLine="2"/>
              <w:jc w:val="center"/>
              <w:rPr>
                <w:rFonts w:cs="Arial"/>
                <w:b w:val="0"/>
                <w:bCs w:val="0"/>
                <w:sz w:val="20"/>
                <w:szCs w:val="20"/>
              </w:rPr>
            </w:pPr>
          </w:p>
        </w:tc>
        <w:tc>
          <w:tcPr>
            <w:tcW w:w="1557" w:type="pct"/>
          </w:tcPr>
          <w:p w14:paraId="21DEF949" w14:textId="199FE052" w:rsidR="00A600C1" w:rsidRPr="001951DD" w:rsidRDefault="00A600C1" w:rsidP="001951D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1951DD">
              <w:rPr>
                <w:sz w:val="20"/>
                <w:szCs w:val="20"/>
              </w:rPr>
              <w:t>Why has FSANZ not required an assessment of the estrogenic properties of soy-based products in the toxicology data?</w:t>
            </w:r>
          </w:p>
        </w:tc>
        <w:tc>
          <w:tcPr>
            <w:tcW w:w="780" w:type="pct"/>
          </w:tcPr>
          <w:p w14:paraId="020E370C" w14:textId="35682F6D" w:rsidR="00A600C1" w:rsidRPr="001951DD" w:rsidRDefault="001951DD" w:rsidP="001951DD">
            <w:pPr>
              <w:cnfStyle w:val="000000100000" w:firstRow="0" w:lastRow="0" w:firstColumn="0" w:lastColumn="0" w:oddVBand="0" w:evenVBand="0" w:oddHBand="1" w:evenHBand="0" w:firstRowFirstColumn="0" w:firstRowLastColumn="0" w:lastRowFirstColumn="0" w:lastRowLastColumn="0"/>
              <w:rPr>
                <w:sz w:val="20"/>
                <w:szCs w:val="20"/>
              </w:rPr>
            </w:pPr>
            <w:r w:rsidRPr="001951DD">
              <w:rPr>
                <w:sz w:val="20"/>
                <w:szCs w:val="20"/>
              </w:rPr>
              <w:t>Consumer organisations (2); Individual Submitters (TBC)</w:t>
            </w:r>
          </w:p>
        </w:tc>
        <w:tc>
          <w:tcPr>
            <w:tcW w:w="2518" w:type="pct"/>
          </w:tcPr>
          <w:p w14:paraId="76626C72" w14:textId="3D6B10FD" w:rsidR="00A600C1" w:rsidRPr="001951DD" w:rsidRDefault="00A600C1" w:rsidP="00DA334B">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1951DD">
              <w:rPr>
                <w:sz w:val="20"/>
                <w:szCs w:val="20"/>
              </w:rPr>
              <w:t xml:space="preserve">The 28-day toxicity study was conducted in accordance with OECD Test Guideline 407, which was updated in 2008 to include endpoints for the detection of endocrine disruptors. No adverse effects on these endpoints were found, indicating a lack of endocrine disrupting properties, including estrogenic effects. </w:t>
            </w:r>
          </w:p>
        </w:tc>
      </w:tr>
      <w:tr w:rsidR="00AF19A9" w:rsidRPr="00BA2E47" w14:paraId="4ED68C02" w14:textId="77777777" w:rsidTr="005440CC">
        <w:tc>
          <w:tcPr>
            <w:cnfStyle w:val="001000000000" w:firstRow="0" w:lastRow="0" w:firstColumn="1" w:lastColumn="0" w:oddVBand="0" w:evenVBand="0" w:oddHBand="0" w:evenHBand="0" w:firstRowFirstColumn="0" w:firstRowLastColumn="0" w:lastRowFirstColumn="0" w:lastRowLastColumn="0"/>
            <w:tcW w:w="145" w:type="pct"/>
            <w:vAlign w:val="center"/>
          </w:tcPr>
          <w:p w14:paraId="5D8BB097" w14:textId="610A5D4F" w:rsidR="00A600C1" w:rsidRPr="006361EE" w:rsidRDefault="00A600C1" w:rsidP="0052545E">
            <w:pPr>
              <w:pStyle w:val="ListParagraph"/>
              <w:numPr>
                <w:ilvl w:val="0"/>
                <w:numId w:val="8"/>
              </w:numPr>
              <w:ind w:left="29" w:right="-50" w:firstLine="2"/>
              <w:jc w:val="center"/>
              <w:rPr>
                <w:rFonts w:cs="Arial"/>
                <w:b w:val="0"/>
                <w:bCs w:val="0"/>
                <w:sz w:val="20"/>
                <w:szCs w:val="20"/>
              </w:rPr>
            </w:pPr>
          </w:p>
        </w:tc>
        <w:tc>
          <w:tcPr>
            <w:tcW w:w="1557" w:type="pct"/>
          </w:tcPr>
          <w:p w14:paraId="530268D2" w14:textId="3620E50B" w:rsidR="00A600C1" w:rsidRPr="001951DD" w:rsidRDefault="00A600C1" w:rsidP="001951DD">
            <w:pPr>
              <w:cnfStyle w:val="000000000000" w:firstRow="0" w:lastRow="0" w:firstColumn="0" w:lastColumn="0" w:oddVBand="0" w:evenVBand="0" w:oddHBand="0" w:evenHBand="0" w:firstRowFirstColumn="0" w:firstRowLastColumn="0" w:lastRowFirstColumn="0" w:lastRowLastColumn="0"/>
              <w:rPr>
                <w:sz w:val="20"/>
                <w:szCs w:val="20"/>
              </w:rPr>
            </w:pPr>
            <w:r w:rsidRPr="001951DD">
              <w:rPr>
                <w:color w:val="000000" w:themeColor="text1"/>
                <w:sz w:val="20"/>
                <w:szCs w:val="20"/>
              </w:rPr>
              <w:t>Why has FSANZ not acknowledged the adverse effects on humans, reported after eating the Impossible Burger?</w:t>
            </w:r>
          </w:p>
        </w:tc>
        <w:tc>
          <w:tcPr>
            <w:tcW w:w="780" w:type="pct"/>
          </w:tcPr>
          <w:p w14:paraId="1E7C2392" w14:textId="3609E6DF" w:rsidR="00A600C1" w:rsidRPr="001951DD" w:rsidRDefault="001951DD" w:rsidP="001951DD">
            <w:pPr>
              <w:cnfStyle w:val="000000000000" w:firstRow="0" w:lastRow="0" w:firstColumn="0" w:lastColumn="0" w:oddVBand="0" w:evenVBand="0" w:oddHBand="0" w:evenHBand="0" w:firstRowFirstColumn="0" w:firstRowLastColumn="0" w:lastRowFirstColumn="0" w:lastRowLastColumn="0"/>
              <w:rPr>
                <w:sz w:val="20"/>
                <w:szCs w:val="20"/>
              </w:rPr>
            </w:pPr>
            <w:r w:rsidRPr="001951DD">
              <w:rPr>
                <w:sz w:val="20"/>
                <w:szCs w:val="20"/>
              </w:rPr>
              <w:t>Consumer organisations (2); Individual submitter (1)</w:t>
            </w:r>
          </w:p>
        </w:tc>
        <w:tc>
          <w:tcPr>
            <w:tcW w:w="2518" w:type="pct"/>
          </w:tcPr>
          <w:p w14:paraId="7BBE038A" w14:textId="2CAFB42F" w:rsidR="00A600C1" w:rsidRPr="001951DD" w:rsidRDefault="00997475" w:rsidP="00F2573D">
            <w:pPr>
              <w:spacing w:before="60"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One </w:t>
            </w:r>
            <w:r w:rsidR="00A600C1" w:rsidRPr="001951DD">
              <w:rPr>
                <w:sz w:val="20"/>
                <w:szCs w:val="20"/>
              </w:rPr>
              <w:t xml:space="preserve">submitter referred to a Science in the News Article from Harvard University entitled </w:t>
            </w:r>
            <w:hyperlink r:id="rId28" w:history="1">
              <w:r w:rsidR="00A600C1" w:rsidRPr="00B16C8E">
                <w:rPr>
                  <w:rStyle w:val="Hyperlink"/>
                  <w:i/>
                  <w:sz w:val="20"/>
                  <w:szCs w:val="20"/>
                </w:rPr>
                <w:t>Will GMOs hurt my body?</w:t>
              </w:r>
            </w:hyperlink>
            <w:r>
              <w:rPr>
                <w:sz w:val="20"/>
                <w:szCs w:val="20"/>
              </w:rPr>
              <w:t>.</w:t>
            </w:r>
            <w:r w:rsidR="00A600C1" w:rsidRPr="001951DD">
              <w:rPr>
                <w:sz w:val="20"/>
                <w:szCs w:val="20"/>
              </w:rPr>
              <w:t xml:space="preserve"> This article acknowledges there are fears about GM foods but concludes that there is no evidence from over 100 research studies that GM foods cause harm.</w:t>
            </w:r>
          </w:p>
          <w:p w14:paraId="439ACAA8" w14:textId="77777777" w:rsidR="00A600C1" w:rsidRPr="001951DD" w:rsidRDefault="00A600C1" w:rsidP="001951D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951DD">
              <w:rPr>
                <w:color w:val="000000" w:themeColor="text1"/>
                <w:sz w:val="20"/>
                <w:szCs w:val="20"/>
              </w:rPr>
              <w:t>Submitters also provided links to social media websites, where individuals have made statements regarding adverse reactions after eating an Impossible Burger.</w:t>
            </w:r>
          </w:p>
          <w:p w14:paraId="245D5CE2" w14:textId="1A71819F" w:rsidR="00A600C1" w:rsidRPr="001951DD" w:rsidRDefault="00A600C1" w:rsidP="00F2573D">
            <w:pPr>
              <w:ind w:left="284"/>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951DD">
              <w:rPr>
                <w:color w:val="000000" w:themeColor="text1"/>
                <w:sz w:val="20"/>
                <w:szCs w:val="20"/>
              </w:rPr>
              <w:t>a</w:t>
            </w:r>
            <w:r w:rsidR="00B16C8E">
              <w:rPr>
                <w:color w:val="000000" w:themeColor="text1"/>
                <w:sz w:val="20"/>
                <w:szCs w:val="20"/>
              </w:rPr>
              <w:t xml:space="preserve">) </w:t>
            </w:r>
            <w:hyperlink r:id="rId29" w:history="1">
              <w:r w:rsidR="00B16C8E" w:rsidRPr="00B16C8E">
                <w:rPr>
                  <w:rStyle w:val="Hyperlink"/>
                  <w:sz w:val="20"/>
                  <w:szCs w:val="20"/>
                </w:rPr>
                <w:t>Vegan group hosted on Reddit</w:t>
              </w:r>
            </w:hyperlink>
            <w:r w:rsidRPr="001951DD">
              <w:rPr>
                <w:color w:val="000000" w:themeColor="text1"/>
                <w:sz w:val="20"/>
                <w:szCs w:val="20"/>
              </w:rPr>
              <w:t>.</w:t>
            </w:r>
          </w:p>
          <w:p w14:paraId="2CC11961" w14:textId="120F54B7" w:rsidR="00A600C1" w:rsidRPr="001951DD" w:rsidRDefault="00A600C1" w:rsidP="00F2573D">
            <w:pPr>
              <w:ind w:left="284"/>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951DD">
              <w:rPr>
                <w:color w:val="000000" w:themeColor="text1"/>
                <w:sz w:val="20"/>
                <w:szCs w:val="20"/>
              </w:rPr>
              <w:t>b</w:t>
            </w:r>
            <w:r w:rsidR="00B16C8E">
              <w:rPr>
                <w:color w:val="000000" w:themeColor="text1"/>
                <w:sz w:val="20"/>
                <w:szCs w:val="20"/>
              </w:rPr>
              <w:t xml:space="preserve">) </w:t>
            </w:r>
            <w:hyperlink r:id="rId30" w:history="1">
              <w:r w:rsidR="00B16C8E" w:rsidRPr="00B16C8E">
                <w:rPr>
                  <w:rStyle w:val="Hyperlink"/>
                  <w:sz w:val="20"/>
                  <w:szCs w:val="20"/>
                </w:rPr>
                <w:t>A US Food Poisoning platform</w:t>
              </w:r>
            </w:hyperlink>
            <w:r w:rsidR="00B16C8E">
              <w:rPr>
                <w:color w:val="000000" w:themeColor="text1"/>
                <w:sz w:val="20"/>
                <w:szCs w:val="20"/>
              </w:rPr>
              <w:t xml:space="preserve"> </w:t>
            </w:r>
          </w:p>
          <w:p w14:paraId="13D46F56" w14:textId="77777777" w:rsidR="00F03EC4" w:rsidRPr="001951DD" w:rsidRDefault="00F03EC4" w:rsidP="001951D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p w14:paraId="1B6D655E" w14:textId="4E3676E3" w:rsidR="00A600C1" w:rsidRPr="001951DD" w:rsidRDefault="00A600C1" w:rsidP="00DA334B">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1951DD">
              <w:rPr>
                <w:color w:val="000000" w:themeColor="text1"/>
                <w:sz w:val="20"/>
                <w:szCs w:val="20"/>
              </w:rPr>
              <w:t xml:space="preserve">FSANZ is aware of online reports of adverse effects following consumption of burgers containing soy leghemoglobin. These self-reports are anecdotal in nature and have not been subject to independent medical verification as far as FSANZ is aware. The effects reported are generally non-specific gastrointestinal symptoms that are not clearly attributable to soy leghemoglobin or the Impossible Burger, as individuals will have consumed other food items at the same time as well as in the preceding hours or days. The time of onset of food-borne illness may be several hours or days following consumption, adding to the difficulty in attributing a cause to a case of illness. </w:t>
            </w:r>
            <w:r w:rsidR="00B550D1" w:rsidRPr="00B550D1">
              <w:rPr>
                <w:color w:val="000000" w:themeColor="text1"/>
                <w:sz w:val="20"/>
                <w:szCs w:val="20"/>
              </w:rPr>
              <w:t xml:space="preserve">As of March 2020, the applicant advised they had sold approximately 100,000,000 quarter-pound (113 g) servings of meat analogue products containing soy leghemoglobin. </w:t>
            </w:r>
            <w:r w:rsidR="00B550D1">
              <w:rPr>
                <w:color w:val="000000" w:themeColor="text1"/>
                <w:sz w:val="20"/>
                <w:szCs w:val="20"/>
              </w:rPr>
              <w:t>It</w:t>
            </w:r>
            <w:r w:rsidRPr="001951DD">
              <w:rPr>
                <w:color w:val="000000" w:themeColor="text1"/>
                <w:sz w:val="20"/>
                <w:szCs w:val="20"/>
              </w:rPr>
              <w:t xml:space="preserve">s post-marketing surveillance identified 1 complaint of a potential adverse event per 100,000 quarter-pound (113 g) servings of the Impossible Burger </w:t>
            </w:r>
            <w:r w:rsidR="007B1DA3">
              <w:rPr>
                <w:color w:val="000000" w:themeColor="text1"/>
                <w:sz w:val="20"/>
                <w:szCs w:val="20"/>
              </w:rPr>
              <w:t>from</w:t>
            </w:r>
            <w:r w:rsidR="007B1DA3" w:rsidRPr="001951DD">
              <w:rPr>
                <w:color w:val="000000" w:themeColor="text1"/>
                <w:sz w:val="20"/>
                <w:szCs w:val="20"/>
              </w:rPr>
              <w:t xml:space="preserve"> </w:t>
            </w:r>
            <w:r w:rsidRPr="001951DD">
              <w:rPr>
                <w:color w:val="000000" w:themeColor="text1"/>
                <w:sz w:val="20"/>
                <w:szCs w:val="20"/>
              </w:rPr>
              <w:t>the previous wheat-based formulation of the burger. With the current recipe</w:t>
            </w:r>
            <w:r w:rsidR="001D23FB" w:rsidRPr="001951DD">
              <w:rPr>
                <w:color w:val="000000" w:themeColor="text1"/>
                <w:sz w:val="20"/>
                <w:szCs w:val="20"/>
              </w:rPr>
              <w:t xml:space="preserve"> (released early 2019)</w:t>
            </w:r>
            <w:r w:rsidRPr="001951DD">
              <w:rPr>
                <w:color w:val="000000" w:themeColor="text1"/>
                <w:sz w:val="20"/>
                <w:szCs w:val="20"/>
              </w:rPr>
              <w:t xml:space="preserve"> the rate of complaints has been 1 per 600,000 servings. None of these complaints has been confirmed as an adverse event due to consumption of these products, however. FSANZ considers that the available evidence does not indicate a significant public health concern from consumption of soy leghemoglobin at the proposed levels. </w:t>
            </w:r>
          </w:p>
        </w:tc>
      </w:tr>
      <w:tr w:rsidR="00AF19A9" w:rsidRPr="00A600C1" w14:paraId="665B3CB5" w14:textId="77777777" w:rsidTr="00544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197EEF9F" w14:textId="37D013CB" w:rsidR="00A600C1" w:rsidRPr="00A600C1" w:rsidRDefault="00A600C1" w:rsidP="0052545E">
            <w:pPr>
              <w:pStyle w:val="ListParagraph"/>
              <w:numPr>
                <w:ilvl w:val="0"/>
                <w:numId w:val="8"/>
              </w:numPr>
              <w:ind w:left="29" w:right="-50" w:firstLine="2"/>
              <w:jc w:val="center"/>
              <w:rPr>
                <w:rFonts w:cs="Arial"/>
                <w:b w:val="0"/>
                <w:bCs w:val="0"/>
                <w:sz w:val="20"/>
                <w:szCs w:val="20"/>
              </w:rPr>
            </w:pPr>
          </w:p>
        </w:tc>
        <w:tc>
          <w:tcPr>
            <w:tcW w:w="1557" w:type="pct"/>
          </w:tcPr>
          <w:p w14:paraId="35BB6840" w14:textId="4CCD1D02" w:rsidR="00A600C1" w:rsidRPr="001951DD" w:rsidRDefault="00A600C1" w:rsidP="009A4F6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1951DD">
              <w:rPr>
                <w:sz w:val="20"/>
                <w:szCs w:val="20"/>
              </w:rPr>
              <w:t>Please clarify if adverse effects reported for the Impossible Burger may be related to interaction between the soy leghemoglobin ingredient and soy lectins in the burger, which could make a poisonous compound.</w:t>
            </w:r>
          </w:p>
        </w:tc>
        <w:tc>
          <w:tcPr>
            <w:tcW w:w="780" w:type="pct"/>
          </w:tcPr>
          <w:p w14:paraId="719B2FA5" w14:textId="5F33EDA6" w:rsidR="00A600C1" w:rsidRPr="001951DD" w:rsidRDefault="00A600C1" w:rsidP="009A4F6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1951DD">
              <w:rPr>
                <w:sz w:val="20"/>
                <w:szCs w:val="20"/>
              </w:rPr>
              <w:t>Private submission</w:t>
            </w:r>
            <w:r w:rsidR="001951DD" w:rsidRPr="001951DD">
              <w:rPr>
                <w:sz w:val="20"/>
                <w:szCs w:val="20"/>
              </w:rPr>
              <w:t xml:space="preserve"> (1)</w:t>
            </w:r>
          </w:p>
        </w:tc>
        <w:tc>
          <w:tcPr>
            <w:tcW w:w="2518" w:type="pct"/>
          </w:tcPr>
          <w:p w14:paraId="0ED0C7AC" w14:textId="77777777" w:rsidR="00A600C1" w:rsidRPr="001951DD" w:rsidRDefault="00A600C1" w:rsidP="009A4F6C">
            <w:pPr>
              <w:spacing w:before="60" w:after="120"/>
              <w:cnfStyle w:val="000000100000" w:firstRow="0" w:lastRow="0" w:firstColumn="0" w:lastColumn="0" w:oddVBand="0" w:evenVBand="0" w:oddHBand="1" w:evenHBand="0" w:firstRowFirstColumn="0" w:firstRowLastColumn="0" w:lastRowFirstColumn="0" w:lastRowLastColumn="0"/>
              <w:rPr>
                <w:sz w:val="20"/>
                <w:szCs w:val="20"/>
              </w:rPr>
            </w:pPr>
            <w:r w:rsidRPr="001951DD">
              <w:rPr>
                <w:sz w:val="20"/>
                <w:szCs w:val="20"/>
              </w:rPr>
              <w:t xml:space="preserve">The submitter suggested that soy leghemoglobin may bind to soy lectins, leading to the formation of a large indigestible complex, which could be potentially poisonous. </w:t>
            </w:r>
          </w:p>
          <w:p w14:paraId="697FC952" w14:textId="48F3CE67" w:rsidR="00A600C1" w:rsidRPr="001951DD" w:rsidRDefault="00A600C1" w:rsidP="00DA334B">
            <w:pPr>
              <w:spacing w:before="60" w:after="240"/>
              <w:cnfStyle w:val="000000100000" w:firstRow="0" w:lastRow="0" w:firstColumn="0" w:lastColumn="0" w:oddVBand="0" w:evenVBand="0" w:oddHBand="1" w:evenHBand="0" w:firstRowFirstColumn="0" w:firstRowLastColumn="0" w:lastRowFirstColumn="0" w:lastRowLastColumn="0"/>
              <w:rPr>
                <w:sz w:val="20"/>
                <w:szCs w:val="20"/>
              </w:rPr>
            </w:pPr>
            <w:r w:rsidRPr="001951DD">
              <w:rPr>
                <w:sz w:val="20"/>
                <w:szCs w:val="20"/>
              </w:rPr>
              <w:t>No</w:t>
            </w:r>
            <w:r w:rsidR="00E167E4">
              <w:rPr>
                <w:sz w:val="20"/>
                <w:szCs w:val="20"/>
              </w:rPr>
              <w:t xml:space="preserve"> </w:t>
            </w:r>
            <w:r w:rsidRPr="001951DD">
              <w:rPr>
                <w:sz w:val="20"/>
                <w:szCs w:val="20"/>
              </w:rPr>
              <w:t>evidence was provided to support this claim</w:t>
            </w:r>
            <w:r w:rsidR="00E167E4">
              <w:rPr>
                <w:sz w:val="20"/>
                <w:szCs w:val="20"/>
              </w:rPr>
              <w:t xml:space="preserve">. </w:t>
            </w:r>
            <w:r w:rsidR="00E167E4" w:rsidRPr="00E167E4">
              <w:rPr>
                <w:sz w:val="20"/>
                <w:szCs w:val="20"/>
              </w:rPr>
              <w:t>FSANZ conducted a literature search and has not identified any evidence that suggests a food matrix would modify the structure, function, or safety of soy leghemoglobin under its proposed use conditions.</w:t>
            </w:r>
          </w:p>
        </w:tc>
      </w:tr>
      <w:tr w:rsidR="00AF19A9" w:rsidRPr="00BA2E47" w14:paraId="3D1D208B" w14:textId="77777777" w:rsidTr="005440CC">
        <w:trPr>
          <w:cantSplit/>
        </w:trPr>
        <w:tc>
          <w:tcPr>
            <w:cnfStyle w:val="001000000000" w:firstRow="0" w:lastRow="0" w:firstColumn="1" w:lastColumn="0" w:oddVBand="0" w:evenVBand="0" w:oddHBand="0" w:evenHBand="0" w:firstRowFirstColumn="0" w:firstRowLastColumn="0" w:lastRowFirstColumn="0" w:lastRowLastColumn="0"/>
            <w:tcW w:w="145" w:type="pct"/>
            <w:vAlign w:val="center"/>
          </w:tcPr>
          <w:p w14:paraId="5083A3CD" w14:textId="539369F9" w:rsidR="00A600C1" w:rsidRPr="006361EE" w:rsidRDefault="00A600C1" w:rsidP="0052545E">
            <w:pPr>
              <w:pStyle w:val="ListParagraph"/>
              <w:numPr>
                <w:ilvl w:val="0"/>
                <w:numId w:val="8"/>
              </w:numPr>
              <w:ind w:left="29" w:right="-50" w:firstLine="2"/>
              <w:contextualSpacing w:val="0"/>
              <w:jc w:val="center"/>
              <w:rPr>
                <w:rFonts w:cs="Arial"/>
                <w:b w:val="0"/>
                <w:bCs w:val="0"/>
                <w:sz w:val="20"/>
                <w:szCs w:val="20"/>
              </w:rPr>
            </w:pPr>
          </w:p>
        </w:tc>
        <w:tc>
          <w:tcPr>
            <w:tcW w:w="1557" w:type="pct"/>
          </w:tcPr>
          <w:p w14:paraId="652FD18D" w14:textId="6B0A4DC5" w:rsidR="00A600C1" w:rsidRPr="001951DD" w:rsidRDefault="00A600C1" w:rsidP="001951DD">
            <w:pPr>
              <w:cnfStyle w:val="000000000000" w:firstRow="0" w:lastRow="0" w:firstColumn="0" w:lastColumn="0" w:oddVBand="0" w:evenVBand="0" w:oddHBand="0" w:evenHBand="0" w:firstRowFirstColumn="0" w:firstRowLastColumn="0" w:lastRowFirstColumn="0" w:lastRowLastColumn="0"/>
              <w:rPr>
                <w:sz w:val="20"/>
                <w:szCs w:val="20"/>
              </w:rPr>
            </w:pPr>
            <w:r w:rsidRPr="001951DD">
              <w:rPr>
                <w:sz w:val="20"/>
                <w:szCs w:val="20"/>
              </w:rPr>
              <w:t xml:space="preserve">FSANZ could elaborate on why the Margins of Exposure (MOE) are acceptable by confirming the highest dose level and the associated No Observed Adverse Effects Level (NOAEL) used in the toxicology studies were the </w:t>
            </w:r>
            <w:r w:rsidRPr="001951DD">
              <w:rPr>
                <w:sz w:val="20"/>
                <w:szCs w:val="20"/>
              </w:rPr>
              <w:lastRenderedPageBreak/>
              <w:t>highest levels consistent with palatability and nutritional balance of test diets, if this were the case.</w:t>
            </w:r>
          </w:p>
        </w:tc>
        <w:tc>
          <w:tcPr>
            <w:tcW w:w="780" w:type="pct"/>
          </w:tcPr>
          <w:p w14:paraId="76870581" w14:textId="5A093473" w:rsidR="00A600C1" w:rsidRPr="001951DD" w:rsidRDefault="00081EB9" w:rsidP="001951DD">
            <w:pPr>
              <w:cnfStyle w:val="000000000000" w:firstRow="0" w:lastRow="0" w:firstColumn="0" w:lastColumn="0" w:oddVBand="0" w:evenVBand="0" w:oddHBand="0" w:evenHBand="0" w:firstRowFirstColumn="0" w:firstRowLastColumn="0" w:lastRowFirstColumn="0" w:lastRowLastColumn="0"/>
              <w:rPr>
                <w:sz w:val="20"/>
                <w:szCs w:val="20"/>
              </w:rPr>
            </w:pPr>
            <w:r w:rsidRPr="001951DD">
              <w:rPr>
                <w:rFonts w:cs="Arial"/>
                <w:sz w:val="20"/>
                <w:szCs w:val="20"/>
              </w:rPr>
              <w:lastRenderedPageBreak/>
              <w:t>Government (1)</w:t>
            </w:r>
          </w:p>
        </w:tc>
        <w:tc>
          <w:tcPr>
            <w:tcW w:w="2518" w:type="pct"/>
          </w:tcPr>
          <w:p w14:paraId="231F8BAC" w14:textId="071FD6F5" w:rsidR="00A600C1" w:rsidRPr="001951DD" w:rsidRDefault="00A600C1" w:rsidP="001951DD">
            <w:pPr>
              <w:cnfStyle w:val="000000000000" w:firstRow="0" w:lastRow="0" w:firstColumn="0" w:lastColumn="0" w:oddVBand="0" w:evenVBand="0" w:oddHBand="0" w:evenHBand="0" w:firstRowFirstColumn="0" w:firstRowLastColumn="0" w:lastRowFirstColumn="0" w:lastRowLastColumn="0"/>
              <w:rPr>
                <w:sz w:val="20"/>
                <w:szCs w:val="20"/>
              </w:rPr>
            </w:pPr>
            <w:r w:rsidRPr="001951DD">
              <w:rPr>
                <w:sz w:val="20"/>
                <w:szCs w:val="20"/>
              </w:rPr>
              <w:t xml:space="preserve">The highest dose used in the toxicity studies was not selected based on palatability or nutritional balance but because it was more than 100 times greater than the 90th percentile estimated daily intake </w:t>
            </w:r>
            <w:r w:rsidR="002D464B">
              <w:rPr>
                <w:sz w:val="20"/>
                <w:szCs w:val="20"/>
              </w:rPr>
              <w:t xml:space="preserve">of </w:t>
            </w:r>
            <w:r w:rsidR="00E20660">
              <w:rPr>
                <w:sz w:val="20"/>
                <w:szCs w:val="20"/>
              </w:rPr>
              <w:t>LegH Prep</w:t>
            </w:r>
            <w:r w:rsidR="002D464B">
              <w:rPr>
                <w:sz w:val="20"/>
                <w:szCs w:val="20"/>
              </w:rPr>
              <w:t xml:space="preserve"> </w:t>
            </w:r>
            <w:r w:rsidRPr="001951DD">
              <w:rPr>
                <w:sz w:val="20"/>
                <w:szCs w:val="20"/>
              </w:rPr>
              <w:t xml:space="preserve">in ground beef analogue products, as estimated by the Applicant. </w:t>
            </w:r>
          </w:p>
          <w:p w14:paraId="0C3DFD9C" w14:textId="77777777" w:rsidR="00A600C1" w:rsidRPr="001951DD" w:rsidRDefault="00A600C1" w:rsidP="001951DD">
            <w:pPr>
              <w:cnfStyle w:val="000000000000" w:firstRow="0" w:lastRow="0" w:firstColumn="0" w:lastColumn="0" w:oddVBand="0" w:evenVBand="0" w:oddHBand="0" w:evenHBand="0" w:firstRowFirstColumn="0" w:firstRowLastColumn="0" w:lastRowFirstColumn="0" w:lastRowLastColumn="0"/>
              <w:rPr>
                <w:sz w:val="20"/>
                <w:szCs w:val="20"/>
              </w:rPr>
            </w:pPr>
          </w:p>
          <w:p w14:paraId="4136FF05" w14:textId="2BC32BAE" w:rsidR="00A600C1" w:rsidRPr="001951DD" w:rsidRDefault="00A600C1" w:rsidP="001951DD">
            <w:pPr>
              <w:cnfStyle w:val="000000000000" w:firstRow="0" w:lastRow="0" w:firstColumn="0" w:lastColumn="0" w:oddVBand="0" w:evenVBand="0" w:oddHBand="0" w:evenHBand="0" w:firstRowFirstColumn="0" w:firstRowLastColumn="0" w:lastRowFirstColumn="0" w:lastRowLastColumn="0"/>
              <w:rPr>
                <w:sz w:val="20"/>
                <w:szCs w:val="20"/>
              </w:rPr>
            </w:pPr>
            <w:r w:rsidRPr="001951DD">
              <w:rPr>
                <w:sz w:val="20"/>
                <w:szCs w:val="20"/>
              </w:rPr>
              <w:t>FSANZ’s estimate of dietary intake of LegH Prep was higher than that calculated by the Applicant, resulting in MOEs smaller than 100. However, as agreed by the submitter, the MOEs are not considered to be of concern given that a sufficient body of knowledge exists on the safety of the source organism,</w:t>
            </w:r>
            <w:r w:rsidR="00E167E4">
              <w:rPr>
                <w:sz w:val="20"/>
                <w:szCs w:val="20"/>
              </w:rPr>
              <w:t xml:space="preserve"> and</w:t>
            </w:r>
            <w:r w:rsidRPr="001951DD">
              <w:rPr>
                <w:sz w:val="20"/>
                <w:szCs w:val="20"/>
              </w:rPr>
              <w:t xml:space="preserve"> the proteins</w:t>
            </w:r>
            <w:r w:rsidR="00E167E4">
              <w:rPr>
                <w:sz w:val="20"/>
                <w:szCs w:val="20"/>
              </w:rPr>
              <w:t xml:space="preserve"> in LegH Prep</w:t>
            </w:r>
            <w:r w:rsidRPr="001951DD">
              <w:rPr>
                <w:sz w:val="20"/>
                <w:szCs w:val="20"/>
              </w:rPr>
              <w:t xml:space="preserve"> will be digested like other dietary proteins and do not share any significant similarities to known allergens or toxins. </w:t>
            </w:r>
          </w:p>
          <w:p w14:paraId="75E2493E" w14:textId="77777777" w:rsidR="00A600C1" w:rsidRPr="001951DD" w:rsidRDefault="00A600C1" w:rsidP="001951DD">
            <w:pPr>
              <w:cnfStyle w:val="000000000000" w:firstRow="0" w:lastRow="0" w:firstColumn="0" w:lastColumn="0" w:oddVBand="0" w:evenVBand="0" w:oddHBand="0" w:evenHBand="0" w:firstRowFirstColumn="0" w:firstRowLastColumn="0" w:lastRowFirstColumn="0" w:lastRowLastColumn="0"/>
              <w:rPr>
                <w:sz w:val="20"/>
                <w:szCs w:val="20"/>
              </w:rPr>
            </w:pPr>
          </w:p>
          <w:p w14:paraId="34EB2CA9" w14:textId="365E1D36" w:rsidR="00A600C1" w:rsidRPr="001951DD" w:rsidRDefault="00A600C1" w:rsidP="00DA334B">
            <w:pPr>
              <w:spacing w:after="240"/>
              <w:cnfStyle w:val="000000000000" w:firstRow="0" w:lastRow="0" w:firstColumn="0" w:lastColumn="0" w:oddVBand="0" w:evenVBand="0" w:oddHBand="0" w:evenHBand="0" w:firstRowFirstColumn="0" w:firstRowLastColumn="0" w:lastRowFirstColumn="0" w:lastRowLastColumn="0"/>
              <w:rPr>
                <w:sz w:val="20"/>
                <w:szCs w:val="20"/>
              </w:rPr>
            </w:pPr>
            <w:r w:rsidRPr="001951DD">
              <w:rPr>
                <w:sz w:val="20"/>
                <w:szCs w:val="20"/>
              </w:rPr>
              <w:t>In addition, the conservative nature of FSANZ’s dietary intake assessment is likely to overestimate intakes over a long period of time or a lifetime. The assessment assumes that products containing LegH Prep will be consumed frequently over a long period of time, in the same amounts that the Australian and New Zealand populations currently consume minced meat and poultry products and existing vegetarian meat alternatives. It also assumes that all meat analogue products on the market would contain LegH Prep. It is unlikely that products containing LegH Prep, if approved, would be consumed frequently over a long period of time, or that 100% of meat analogue products consumed would contain LegH Prep.</w:t>
            </w:r>
          </w:p>
        </w:tc>
      </w:tr>
      <w:tr w:rsidR="00AF19A9" w:rsidRPr="00BA2E47" w14:paraId="63071E77" w14:textId="77777777" w:rsidTr="00544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505D4261" w14:textId="2CD728E4" w:rsidR="00A600C1" w:rsidRPr="006361EE" w:rsidRDefault="00A600C1" w:rsidP="0052545E">
            <w:pPr>
              <w:pStyle w:val="ListParagraph"/>
              <w:numPr>
                <w:ilvl w:val="0"/>
                <w:numId w:val="8"/>
              </w:numPr>
              <w:ind w:left="29" w:right="-50" w:firstLine="2"/>
              <w:jc w:val="center"/>
              <w:rPr>
                <w:rFonts w:cs="Arial"/>
                <w:b w:val="0"/>
                <w:bCs w:val="0"/>
                <w:sz w:val="20"/>
                <w:szCs w:val="20"/>
              </w:rPr>
            </w:pPr>
          </w:p>
        </w:tc>
        <w:tc>
          <w:tcPr>
            <w:tcW w:w="1557" w:type="pct"/>
          </w:tcPr>
          <w:p w14:paraId="24C86F5D" w14:textId="256988AA" w:rsidR="00A600C1" w:rsidRPr="001951DD" w:rsidRDefault="00A600C1" w:rsidP="001951DD">
            <w:pPr>
              <w:cnfStyle w:val="000000100000" w:firstRow="0" w:lastRow="0" w:firstColumn="0" w:lastColumn="0" w:oddVBand="0" w:evenVBand="0" w:oddHBand="1" w:evenHBand="0" w:firstRowFirstColumn="0" w:firstRowLastColumn="0" w:lastRowFirstColumn="0" w:lastRowLastColumn="0"/>
              <w:rPr>
                <w:color w:val="000000" w:themeColor="text1"/>
                <w:sz w:val="20"/>
              </w:rPr>
            </w:pPr>
            <w:r w:rsidRPr="001951DD">
              <w:rPr>
                <w:sz w:val="20"/>
              </w:rPr>
              <w:t>Some research suggests that haem iron may contribute to an increased risk of colon cancer and other health problems that have been associated with red meat consumption. It’s still unknown whether the haem iron from soy leghemoglobin may pose that same risk: https://www.ncbi.nlm.nih.gov/pubmed/25592152</w:t>
            </w:r>
          </w:p>
        </w:tc>
        <w:tc>
          <w:tcPr>
            <w:tcW w:w="780" w:type="pct"/>
          </w:tcPr>
          <w:p w14:paraId="3864FA62" w14:textId="3A00EE60" w:rsidR="00A600C1" w:rsidRPr="001951DD" w:rsidRDefault="001951DD" w:rsidP="001951DD">
            <w:pPr>
              <w:cnfStyle w:val="000000100000" w:firstRow="0" w:lastRow="0" w:firstColumn="0" w:lastColumn="0" w:oddVBand="0" w:evenVBand="0" w:oddHBand="1" w:evenHBand="0" w:firstRowFirstColumn="0" w:firstRowLastColumn="0" w:lastRowFirstColumn="0" w:lastRowLastColumn="0"/>
              <w:rPr>
                <w:sz w:val="20"/>
              </w:rPr>
            </w:pPr>
            <w:r w:rsidRPr="001951DD">
              <w:rPr>
                <w:sz w:val="20"/>
              </w:rPr>
              <w:t>Consumer organisation (1);</w:t>
            </w:r>
          </w:p>
        </w:tc>
        <w:tc>
          <w:tcPr>
            <w:tcW w:w="2518" w:type="pct"/>
          </w:tcPr>
          <w:p w14:paraId="41EA394A" w14:textId="77777777" w:rsidR="00A600C1" w:rsidRPr="001951DD" w:rsidRDefault="00A600C1" w:rsidP="001951DD">
            <w:pPr>
              <w:cnfStyle w:val="000000100000" w:firstRow="0" w:lastRow="0" w:firstColumn="0" w:lastColumn="0" w:oddVBand="0" w:evenVBand="0" w:oddHBand="1" w:evenHBand="0" w:firstRowFirstColumn="0" w:firstRowLastColumn="0" w:lastRowFirstColumn="0" w:lastRowLastColumn="0"/>
              <w:rPr>
                <w:sz w:val="20"/>
              </w:rPr>
            </w:pPr>
            <w:r w:rsidRPr="001951DD">
              <w:rPr>
                <w:sz w:val="20"/>
              </w:rPr>
              <w:t xml:space="preserve">While the International Agency for Research on Cancer (IARC) has classified red meat as probably carcinogenic to humans, the reasons for such an association are not yet fully understood. Red meat contains a number of substances in addition to haem iron that have been suggested to be potential contributors, including heterocyclic amines and polycyclic aromatic hydrocarbons formed during cooking. IARC has noted that the potential carcinogenic mechanisms associated with consumption of red meat cannot be attributed to a particular meat component (IARC 2018). </w:t>
            </w:r>
          </w:p>
          <w:p w14:paraId="51A4A56C" w14:textId="77777777" w:rsidR="00A600C1" w:rsidRPr="001951DD" w:rsidRDefault="00A600C1" w:rsidP="001951DD">
            <w:pPr>
              <w:cnfStyle w:val="000000100000" w:firstRow="0" w:lastRow="0" w:firstColumn="0" w:lastColumn="0" w:oddVBand="0" w:evenVBand="0" w:oddHBand="1" w:evenHBand="0" w:firstRowFirstColumn="0" w:firstRowLastColumn="0" w:lastRowFirstColumn="0" w:lastRowLastColumn="0"/>
              <w:rPr>
                <w:sz w:val="20"/>
              </w:rPr>
            </w:pPr>
          </w:p>
          <w:p w14:paraId="14E652E7" w14:textId="1F447073" w:rsidR="00A600C1" w:rsidRPr="001951DD" w:rsidRDefault="00A600C1" w:rsidP="00DA334B">
            <w:pPr>
              <w:spacing w:after="240"/>
              <w:cnfStyle w:val="000000100000" w:firstRow="0" w:lastRow="0" w:firstColumn="0" w:lastColumn="0" w:oddVBand="0" w:evenVBand="0" w:oddHBand="1" w:evenHBand="0" w:firstRowFirstColumn="0" w:firstRowLastColumn="0" w:lastRowFirstColumn="0" w:lastRowLastColumn="0"/>
              <w:rPr>
                <w:sz w:val="20"/>
              </w:rPr>
            </w:pPr>
            <w:r w:rsidRPr="001951DD">
              <w:rPr>
                <w:sz w:val="20"/>
              </w:rPr>
              <w:t xml:space="preserve">Recent reviews of studies conducted with haem to investigate a potential carcinogenic mechanism have concluded that these studies have a number of limitations, and there is insufficient evidence to confirm a mechanistic link between consumption of haem iron and an increased risk of colorectal cancer (Kruger and Zhou 2018; Turner and Lloyd 2017). In addition, there is no evidence available indicating that the dietary intake of haem from soy leghemoglobin would contribute to an increased risk of cancer. The available studies with soy leghemoglobin found that it was not genotoxic, and the repeated dose toxicity studies found no evidence of lesions that could lead to neoplasia through non-genotoxic mechanisms. </w:t>
            </w:r>
          </w:p>
        </w:tc>
      </w:tr>
      <w:tr w:rsidR="001951DD" w:rsidRPr="00BA2E47" w14:paraId="03EE5621" w14:textId="77777777" w:rsidTr="0052545E">
        <w:tc>
          <w:tcPr>
            <w:cnfStyle w:val="001000000000" w:firstRow="0" w:lastRow="0" w:firstColumn="1" w:lastColumn="0" w:oddVBand="0" w:evenVBand="0" w:oddHBand="0" w:evenHBand="0" w:firstRowFirstColumn="0" w:firstRowLastColumn="0" w:lastRowFirstColumn="0" w:lastRowLastColumn="0"/>
            <w:tcW w:w="145" w:type="pct"/>
            <w:vAlign w:val="center"/>
          </w:tcPr>
          <w:p w14:paraId="3C2F726F" w14:textId="77777777" w:rsidR="001951DD" w:rsidRPr="00B73B30" w:rsidRDefault="001951DD" w:rsidP="0052545E">
            <w:pPr>
              <w:spacing w:before="240" w:after="240"/>
              <w:ind w:left="29" w:right="-50" w:firstLine="2"/>
              <w:jc w:val="center"/>
              <w:rPr>
                <w:rFonts w:cs="Arial"/>
                <w:sz w:val="20"/>
                <w:szCs w:val="20"/>
              </w:rPr>
            </w:pPr>
          </w:p>
        </w:tc>
        <w:tc>
          <w:tcPr>
            <w:tcW w:w="4855" w:type="pct"/>
            <w:gridSpan w:val="3"/>
          </w:tcPr>
          <w:p w14:paraId="05C22411" w14:textId="6F9E0010" w:rsidR="001951DD" w:rsidRPr="00A600C1" w:rsidRDefault="001951DD" w:rsidP="009C7588">
            <w:pPr>
              <w:spacing w:before="240" w:after="240"/>
              <w:ind w:left="87" w:hanging="87"/>
              <w:jc w:val="center"/>
              <w:cnfStyle w:val="000000000000" w:firstRow="0" w:lastRow="0" w:firstColumn="0" w:lastColumn="0" w:oddVBand="0" w:evenVBand="0" w:oddHBand="0" w:evenHBand="0" w:firstRowFirstColumn="0" w:firstRowLastColumn="0" w:lastRowFirstColumn="0" w:lastRowLastColumn="0"/>
              <w:rPr>
                <w:sz w:val="20"/>
                <w:szCs w:val="20"/>
              </w:rPr>
            </w:pPr>
            <w:r w:rsidRPr="00174FA7">
              <w:rPr>
                <w:b/>
                <w:sz w:val="24"/>
              </w:rPr>
              <w:t xml:space="preserve">Safety and Technical data – </w:t>
            </w:r>
            <w:r>
              <w:rPr>
                <w:b/>
                <w:sz w:val="24"/>
              </w:rPr>
              <w:t>Nutritional impact assessment</w:t>
            </w:r>
          </w:p>
        </w:tc>
      </w:tr>
      <w:tr w:rsidR="00AF19A9" w:rsidRPr="00BA2E47" w14:paraId="655A81E5" w14:textId="77777777" w:rsidTr="00544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4B856BA7" w14:textId="77777777" w:rsidR="00B73B30" w:rsidRPr="006361EE" w:rsidRDefault="00B73B30" w:rsidP="0052545E">
            <w:pPr>
              <w:pStyle w:val="ListParagraph"/>
              <w:numPr>
                <w:ilvl w:val="0"/>
                <w:numId w:val="8"/>
              </w:numPr>
              <w:ind w:left="29" w:right="-50" w:firstLine="2"/>
              <w:jc w:val="center"/>
              <w:rPr>
                <w:rFonts w:cs="Arial"/>
                <w:b w:val="0"/>
                <w:bCs w:val="0"/>
                <w:sz w:val="20"/>
                <w:szCs w:val="20"/>
              </w:rPr>
            </w:pPr>
          </w:p>
        </w:tc>
        <w:tc>
          <w:tcPr>
            <w:tcW w:w="1557" w:type="pct"/>
          </w:tcPr>
          <w:p w14:paraId="587FCE91" w14:textId="64D92F28" w:rsidR="00B73B30" w:rsidRPr="001951DD" w:rsidRDefault="00B73B30" w:rsidP="001951DD">
            <w:pPr>
              <w:cnfStyle w:val="000000100000" w:firstRow="0" w:lastRow="0" w:firstColumn="0" w:lastColumn="0" w:oddVBand="0" w:evenVBand="0" w:oddHBand="1" w:evenHBand="0" w:firstRowFirstColumn="0" w:firstRowLastColumn="0" w:lastRowFirstColumn="0" w:lastRowLastColumn="0"/>
              <w:rPr>
                <w:sz w:val="20"/>
                <w:szCs w:val="20"/>
              </w:rPr>
            </w:pPr>
            <w:r w:rsidRPr="001951DD">
              <w:rPr>
                <w:sz w:val="20"/>
                <w:szCs w:val="20"/>
              </w:rPr>
              <w:t xml:space="preserve">If the absence of meat proteins in the final product may decrease haem iron bioavailability of soy leghemoglobin, then it is not accurate to state that the final product has similar nutrition characteristics as meat. </w:t>
            </w:r>
          </w:p>
        </w:tc>
        <w:tc>
          <w:tcPr>
            <w:tcW w:w="780" w:type="pct"/>
          </w:tcPr>
          <w:p w14:paraId="3A2475E8" w14:textId="49D53E0D" w:rsidR="00B73B30" w:rsidRPr="001951DD" w:rsidRDefault="001951DD" w:rsidP="001951DD">
            <w:pPr>
              <w:cnfStyle w:val="000000100000" w:firstRow="0" w:lastRow="0" w:firstColumn="0" w:lastColumn="0" w:oddVBand="0" w:evenVBand="0" w:oddHBand="1" w:evenHBand="0" w:firstRowFirstColumn="0" w:firstRowLastColumn="0" w:lastRowFirstColumn="0" w:lastRowLastColumn="0"/>
              <w:rPr>
                <w:sz w:val="20"/>
                <w:szCs w:val="20"/>
              </w:rPr>
            </w:pPr>
            <w:r w:rsidRPr="001951DD">
              <w:rPr>
                <w:sz w:val="20"/>
                <w:szCs w:val="20"/>
              </w:rPr>
              <w:t>Consumer organisation (1)</w:t>
            </w:r>
          </w:p>
        </w:tc>
        <w:tc>
          <w:tcPr>
            <w:tcW w:w="2518" w:type="pct"/>
          </w:tcPr>
          <w:p w14:paraId="471FB7B1" w14:textId="2321A090" w:rsidR="00B052F4" w:rsidRPr="001951DD" w:rsidRDefault="00B423C4" w:rsidP="001951DD">
            <w:pPr>
              <w:cnfStyle w:val="000000100000" w:firstRow="0" w:lastRow="0" w:firstColumn="0" w:lastColumn="0" w:oddVBand="0" w:evenVBand="0" w:oddHBand="1" w:evenHBand="0" w:firstRowFirstColumn="0" w:firstRowLastColumn="0" w:lastRowFirstColumn="0" w:lastRowLastColumn="0"/>
              <w:rPr>
                <w:sz w:val="20"/>
                <w:szCs w:val="20"/>
              </w:rPr>
            </w:pPr>
            <w:r w:rsidRPr="001951DD">
              <w:rPr>
                <w:sz w:val="20"/>
                <w:szCs w:val="20"/>
              </w:rPr>
              <w:t xml:space="preserve">FSANZ considers that haem iron from soy leghemoglobin is likely to have similar bioavailability to haem iron from </w:t>
            </w:r>
            <w:r w:rsidR="00A23A80" w:rsidRPr="001951DD">
              <w:rPr>
                <w:sz w:val="20"/>
                <w:szCs w:val="20"/>
              </w:rPr>
              <w:t>meat haemoglobins. Soy legh</w:t>
            </w:r>
            <w:r w:rsidRPr="001951DD">
              <w:rPr>
                <w:sz w:val="20"/>
                <w:szCs w:val="20"/>
              </w:rPr>
              <w:t xml:space="preserve">emoglobin has </w:t>
            </w:r>
            <w:r w:rsidR="00B052F4" w:rsidRPr="001951DD">
              <w:rPr>
                <w:sz w:val="20"/>
                <w:szCs w:val="20"/>
              </w:rPr>
              <w:t xml:space="preserve">a </w:t>
            </w:r>
            <w:r w:rsidRPr="001951DD">
              <w:rPr>
                <w:sz w:val="20"/>
                <w:szCs w:val="20"/>
              </w:rPr>
              <w:t xml:space="preserve">similar </w:t>
            </w:r>
            <w:r w:rsidR="00B052F4" w:rsidRPr="001951DD">
              <w:rPr>
                <w:sz w:val="20"/>
                <w:szCs w:val="20"/>
              </w:rPr>
              <w:t xml:space="preserve">structure and </w:t>
            </w:r>
            <w:r w:rsidRPr="001951DD">
              <w:rPr>
                <w:sz w:val="20"/>
                <w:szCs w:val="20"/>
              </w:rPr>
              <w:t xml:space="preserve">physicochemical </w:t>
            </w:r>
            <w:r w:rsidR="00B052F4" w:rsidRPr="001951DD">
              <w:rPr>
                <w:sz w:val="20"/>
                <w:szCs w:val="20"/>
              </w:rPr>
              <w:t xml:space="preserve">properties to animal </w:t>
            </w:r>
            <w:r w:rsidR="00A23A80" w:rsidRPr="001951DD">
              <w:rPr>
                <w:sz w:val="20"/>
                <w:szCs w:val="20"/>
              </w:rPr>
              <w:t>myoglobins</w:t>
            </w:r>
            <w:r w:rsidR="00114523" w:rsidRPr="001951DD">
              <w:rPr>
                <w:sz w:val="20"/>
                <w:szCs w:val="20"/>
              </w:rPr>
              <w:t xml:space="preserve">, </w:t>
            </w:r>
            <w:r w:rsidRPr="001951DD">
              <w:rPr>
                <w:sz w:val="20"/>
                <w:szCs w:val="20"/>
              </w:rPr>
              <w:t xml:space="preserve">contains the same haem B prosthetic group </w:t>
            </w:r>
            <w:r w:rsidR="00B052F4" w:rsidRPr="001951DD">
              <w:rPr>
                <w:sz w:val="20"/>
                <w:szCs w:val="20"/>
              </w:rPr>
              <w:t>that</w:t>
            </w:r>
            <w:r w:rsidRPr="001951DD">
              <w:rPr>
                <w:sz w:val="20"/>
                <w:szCs w:val="20"/>
              </w:rPr>
              <w:t xml:space="preserve"> is released </w:t>
            </w:r>
            <w:r w:rsidR="00EA3C43">
              <w:rPr>
                <w:sz w:val="20"/>
                <w:szCs w:val="20"/>
              </w:rPr>
              <w:t>in the acidic environment of the stomach</w:t>
            </w:r>
            <w:r w:rsidR="00114523" w:rsidRPr="001951DD">
              <w:rPr>
                <w:sz w:val="20"/>
                <w:szCs w:val="20"/>
              </w:rPr>
              <w:t>,</w:t>
            </w:r>
            <w:r w:rsidRPr="001951DD">
              <w:rPr>
                <w:sz w:val="20"/>
                <w:szCs w:val="20"/>
              </w:rPr>
              <w:t xml:space="preserve"> and denatures at a lower </w:t>
            </w:r>
            <w:r w:rsidR="00114523" w:rsidRPr="001951DD">
              <w:rPr>
                <w:sz w:val="20"/>
                <w:szCs w:val="20"/>
              </w:rPr>
              <w:t xml:space="preserve">temperature </w:t>
            </w:r>
            <w:r w:rsidR="006F2968">
              <w:rPr>
                <w:sz w:val="20"/>
                <w:szCs w:val="20"/>
              </w:rPr>
              <w:t>than</w:t>
            </w:r>
            <w:r w:rsidR="006F2968" w:rsidRPr="001951DD">
              <w:rPr>
                <w:sz w:val="20"/>
                <w:szCs w:val="20"/>
              </w:rPr>
              <w:t xml:space="preserve"> </w:t>
            </w:r>
            <w:r w:rsidR="00114523" w:rsidRPr="001951DD">
              <w:rPr>
                <w:sz w:val="20"/>
                <w:szCs w:val="20"/>
              </w:rPr>
              <w:t>equine myoglobin</w:t>
            </w:r>
            <w:r w:rsidRPr="001951DD">
              <w:rPr>
                <w:sz w:val="20"/>
                <w:szCs w:val="20"/>
              </w:rPr>
              <w:t xml:space="preserve">. Further evidence </w:t>
            </w:r>
            <w:r w:rsidR="002419D1">
              <w:rPr>
                <w:sz w:val="20"/>
                <w:szCs w:val="20"/>
              </w:rPr>
              <w:t>was</w:t>
            </w:r>
            <w:r w:rsidR="00B052F4" w:rsidRPr="001951DD">
              <w:rPr>
                <w:sz w:val="20"/>
                <w:szCs w:val="20"/>
              </w:rPr>
              <w:t xml:space="preserve"> </w:t>
            </w:r>
            <w:r w:rsidRPr="001951DD">
              <w:rPr>
                <w:sz w:val="20"/>
                <w:szCs w:val="20"/>
              </w:rPr>
              <w:t xml:space="preserve">provided </w:t>
            </w:r>
            <w:r w:rsidR="00B052F4" w:rsidRPr="001951DD">
              <w:rPr>
                <w:sz w:val="20"/>
                <w:szCs w:val="20"/>
              </w:rPr>
              <w:t>by</w:t>
            </w:r>
            <w:r w:rsidRPr="001951DD">
              <w:rPr>
                <w:sz w:val="20"/>
                <w:szCs w:val="20"/>
              </w:rPr>
              <w:t xml:space="preserve"> an vitro study </w:t>
            </w:r>
            <w:r w:rsidR="00B052F4" w:rsidRPr="001951DD">
              <w:rPr>
                <w:sz w:val="20"/>
                <w:szCs w:val="20"/>
              </w:rPr>
              <w:t>in which</w:t>
            </w:r>
            <w:r w:rsidRPr="001951DD">
              <w:rPr>
                <w:sz w:val="20"/>
                <w:szCs w:val="20"/>
              </w:rPr>
              <w:t xml:space="preserve"> </w:t>
            </w:r>
            <w:r w:rsidR="002419D1">
              <w:rPr>
                <w:sz w:val="20"/>
                <w:szCs w:val="20"/>
              </w:rPr>
              <w:t xml:space="preserve">iron from </w:t>
            </w:r>
            <w:r w:rsidR="00A23A80" w:rsidRPr="001951DD">
              <w:rPr>
                <w:sz w:val="20"/>
                <w:szCs w:val="20"/>
              </w:rPr>
              <w:t>soy leghemoglobin</w:t>
            </w:r>
            <w:r w:rsidRPr="001951DD">
              <w:rPr>
                <w:sz w:val="20"/>
                <w:szCs w:val="20"/>
              </w:rPr>
              <w:t xml:space="preserve"> </w:t>
            </w:r>
            <w:r w:rsidR="002419D1">
              <w:rPr>
                <w:sz w:val="20"/>
                <w:szCs w:val="20"/>
              </w:rPr>
              <w:t>showed</w:t>
            </w:r>
            <w:r w:rsidR="00B052F4" w:rsidRPr="001951DD">
              <w:rPr>
                <w:sz w:val="20"/>
                <w:szCs w:val="20"/>
              </w:rPr>
              <w:t xml:space="preserve"> </w:t>
            </w:r>
            <w:r w:rsidRPr="001951DD">
              <w:rPr>
                <w:sz w:val="20"/>
                <w:szCs w:val="20"/>
              </w:rPr>
              <w:t xml:space="preserve">similar bioavailability to </w:t>
            </w:r>
            <w:r w:rsidR="002419D1">
              <w:rPr>
                <w:sz w:val="20"/>
                <w:szCs w:val="20"/>
              </w:rPr>
              <w:t xml:space="preserve">iron from </w:t>
            </w:r>
            <w:r w:rsidRPr="001951DD">
              <w:rPr>
                <w:sz w:val="20"/>
                <w:szCs w:val="20"/>
              </w:rPr>
              <w:t>bovine haemoglobin.</w:t>
            </w:r>
          </w:p>
          <w:p w14:paraId="7EAA6D23" w14:textId="77777777" w:rsidR="00A23A80" w:rsidRPr="001951DD" w:rsidRDefault="00A23A80" w:rsidP="001951DD">
            <w:pPr>
              <w:cnfStyle w:val="000000100000" w:firstRow="0" w:lastRow="0" w:firstColumn="0" w:lastColumn="0" w:oddVBand="0" w:evenVBand="0" w:oddHBand="1" w:evenHBand="0" w:firstRowFirstColumn="0" w:firstRowLastColumn="0" w:lastRowFirstColumn="0" w:lastRowLastColumn="0"/>
              <w:rPr>
                <w:sz w:val="20"/>
                <w:szCs w:val="20"/>
              </w:rPr>
            </w:pPr>
          </w:p>
          <w:p w14:paraId="23CC07F8" w14:textId="77DA0264" w:rsidR="00B73B30" w:rsidRPr="001951DD" w:rsidRDefault="00B84F69" w:rsidP="00DA334B">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1951DD">
              <w:rPr>
                <w:sz w:val="20"/>
                <w:szCs w:val="20"/>
              </w:rPr>
              <w:t xml:space="preserve">FSANZ notes that the bioavailability of </w:t>
            </w:r>
            <w:r w:rsidR="006A3C36" w:rsidRPr="001951DD">
              <w:rPr>
                <w:sz w:val="20"/>
                <w:szCs w:val="20"/>
              </w:rPr>
              <w:t xml:space="preserve">haem iron from </w:t>
            </w:r>
            <w:r w:rsidR="00A23A80" w:rsidRPr="001951DD">
              <w:rPr>
                <w:sz w:val="20"/>
                <w:szCs w:val="20"/>
              </w:rPr>
              <w:t>soy leghemoglobin</w:t>
            </w:r>
            <w:r w:rsidR="006A3C36" w:rsidRPr="001951DD">
              <w:rPr>
                <w:sz w:val="20"/>
                <w:szCs w:val="20"/>
              </w:rPr>
              <w:t xml:space="preserve"> may be reduced due to the absence of meat proteins in the final product</w:t>
            </w:r>
            <w:r w:rsidR="00B41B1B">
              <w:rPr>
                <w:sz w:val="20"/>
                <w:szCs w:val="20"/>
              </w:rPr>
              <w:t>.</w:t>
            </w:r>
            <w:r w:rsidR="006A3C36" w:rsidRPr="001951DD">
              <w:rPr>
                <w:sz w:val="20"/>
                <w:szCs w:val="20"/>
              </w:rPr>
              <w:t xml:space="preserve"> </w:t>
            </w:r>
            <w:r w:rsidR="00B41B1B">
              <w:rPr>
                <w:sz w:val="20"/>
                <w:szCs w:val="20"/>
              </w:rPr>
              <w:t>H</w:t>
            </w:r>
            <w:r w:rsidR="00114523" w:rsidRPr="001951DD">
              <w:rPr>
                <w:sz w:val="20"/>
                <w:szCs w:val="20"/>
              </w:rPr>
              <w:t>owever</w:t>
            </w:r>
            <w:r w:rsidR="00B41B1B">
              <w:rPr>
                <w:sz w:val="20"/>
                <w:szCs w:val="20"/>
              </w:rPr>
              <w:t>, as described in SD1,</w:t>
            </w:r>
            <w:r w:rsidR="00114523" w:rsidRPr="001951DD">
              <w:rPr>
                <w:sz w:val="20"/>
                <w:szCs w:val="20"/>
              </w:rPr>
              <w:t xml:space="preserve"> </w:t>
            </w:r>
            <w:r w:rsidR="00114523" w:rsidRPr="001951DD" w:rsidDel="00B41B1B">
              <w:rPr>
                <w:sz w:val="20"/>
                <w:szCs w:val="20"/>
              </w:rPr>
              <w:t>the</w:t>
            </w:r>
            <w:r w:rsidR="00737447" w:rsidRPr="001951DD" w:rsidDel="00B41B1B">
              <w:rPr>
                <w:sz w:val="20"/>
                <w:szCs w:val="20"/>
              </w:rPr>
              <w:t xml:space="preserve"> </w:t>
            </w:r>
            <w:r w:rsidR="00737447" w:rsidRPr="001951DD">
              <w:rPr>
                <w:sz w:val="20"/>
                <w:szCs w:val="20"/>
              </w:rPr>
              <w:t>total iron content of the proposed meat analogue product</w:t>
            </w:r>
            <w:r w:rsidR="0077574E">
              <w:rPr>
                <w:sz w:val="20"/>
                <w:szCs w:val="20"/>
              </w:rPr>
              <w:t>s</w:t>
            </w:r>
            <w:r w:rsidR="00737447" w:rsidRPr="001951DD">
              <w:rPr>
                <w:sz w:val="20"/>
                <w:szCs w:val="20"/>
              </w:rPr>
              <w:t xml:space="preserve"> </w:t>
            </w:r>
            <w:r w:rsidR="00B41B1B">
              <w:rPr>
                <w:sz w:val="20"/>
                <w:szCs w:val="20"/>
              </w:rPr>
              <w:t>is</w:t>
            </w:r>
            <w:r w:rsidR="00737447" w:rsidRPr="001951DD">
              <w:rPr>
                <w:sz w:val="20"/>
                <w:szCs w:val="20"/>
              </w:rPr>
              <w:t xml:space="preserve"> higher than </w:t>
            </w:r>
            <w:r w:rsidR="00B41B1B">
              <w:rPr>
                <w:sz w:val="20"/>
                <w:szCs w:val="20"/>
              </w:rPr>
              <w:t xml:space="preserve">comparison </w:t>
            </w:r>
            <w:r w:rsidR="00737447" w:rsidRPr="001951DD">
              <w:rPr>
                <w:sz w:val="20"/>
                <w:szCs w:val="20"/>
              </w:rPr>
              <w:t>meat product</w:t>
            </w:r>
            <w:r w:rsidR="00A7357A">
              <w:rPr>
                <w:sz w:val="20"/>
                <w:szCs w:val="20"/>
              </w:rPr>
              <w:t>s,</w:t>
            </w:r>
            <w:r w:rsidR="00737447" w:rsidRPr="001951DD">
              <w:rPr>
                <w:sz w:val="20"/>
                <w:szCs w:val="20"/>
              </w:rPr>
              <w:t xml:space="preserve"> thereby compensating for any potential decrease in bioavailability. </w:t>
            </w:r>
            <w:r w:rsidR="002E30DB" w:rsidRPr="001951DD">
              <w:rPr>
                <w:sz w:val="20"/>
                <w:szCs w:val="20"/>
              </w:rPr>
              <w:t xml:space="preserve">In addition, iron absorption is tightly regulated by the body, increasing when individuals are iron deficient and decreasing when iron overload occurs. </w:t>
            </w:r>
            <w:r w:rsidR="00737447" w:rsidRPr="001951DD">
              <w:rPr>
                <w:sz w:val="20"/>
                <w:szCs w:val="20"/>
              </w:rPr>
              <w:t>Therefore</w:t>
            </w:r>
            <w:r w:rsidR="00A811A1">
              <w:rPr>
                <w:sz w:val="20"/>
                <w:szCs w:val="20"/>
              </w:rPr>
              <w:t>,</w:t>
            </w:r>
            <w:r w:rsidR="00737447" w:rsidRPr="001951DD">
              <w:rPr>
                <w:sz w:val="20"/>
                <w:szCs w:val="20"/>
              </w:rPr>
              <w:t xml:space="preserve"> FSANZ considers that in terms of iron bioavailability a nutritional disadvantage would not </w:t>
            </w:r>
            <w:r w:rsidR="0077574E">
              <w:rPr>
                <w:sz w:val="20"/>
                <w:szCs w:val="20"/>
              </w:rPr>
              <w:t xml:space="preserve">result from </w:t>
            </w:r>
            <w:r w:rsidR="00737447" w:rsidRPr="001951DD">
              <w:rPr>
                <w:sz w:val="20"/>
                <w:szCs w:val="20"/>
              </w:rPr>
              <w:t>consum</w:t>
            </w:r>
            <w:r w:rsidR="0077574E">
              <w:rPr>
                <w:sz w:val="20"/>
                <w:szCs w:val="20"/>
              </w:rPr>
              <w:t>ption</w:t>
            </w:r>
            <w:r w:rsidR="00737447" w:rsidRPr="001951DD">
              <w:rPr>
                <w:sz w:val="20"/>
                <w:szCs w:val="20"/>
              </w:rPr>
              <w:t xml:space="preserve"> </w:t>
            </w:r>
            <w:r w:rsidR="0077574E">
              <w:rPr>
                <w:sz w:val="20"/>
                <w:szCs w:val="20"/>
              </w:rPr>
              <w:t xml:space="preserve">of </w:t>
            </w:r>
            <w:r w:rsidR="00737447" w:rsidRPr="001951DD">
              <w:rPr>
                <w:sz w:val="20"/>
                <w:szCs w:val="20"/>
              </w:rPr>
              <w:t>th</w:t>
            </w:r>
            <w:r w:rsidR="0077574E">
              <w:rPr>
                <w:sz w:val="20"/>
                <w:szCs w:val="20"/>
              </w:rPr>
              <w:t>ese</w:t>
            </w:r>
            <w:r w:rsidR="00737447" w:rsidRPr="001951DD">
              <w:rPr>
                <w:sz w:val="20"/>
                <w:szCs w:val="20"/>
              </w:rPr>
              <w:t xml:space="preserve"> product</w:t>
            </w:r>
            <w:r w:rsidR="0077574E">
              <w:rPr>
                <w:sz w:val="20"/>
                <w:szCs w:val="20"/>
              </w:rPr>
              <w:t>s</w:t>
            </w:r>
            <w:r w:rsidR="00737447" w:rsidRPr="001951DD">
              <w:rPr>
                <w:sz w:val="20"/>
                <w:szCs w:val="20"/>
              </w:rPr>
              <w:t xml:space="preserve">. </w:t>
            </w:r>
            <w:r w:rsidR="00131029">
              <w:rPr>
                <w:sz w:val="20"/>
                <w:szCs w:val="20"/>
              </w:rPr>
              <w:t>Further c</w:t>
            </w:r>
            <w:r w:rsidR="00A23A80" w:rsidRPr="001951DD">
              <w:rPr>
                <w:sz w:val="20"/>
                <w:szCs w:val="20"/>
              </w:rPr>
              <w:t>onsideration of the nutritional value of the meat analogue product is out of scope</w:t>
            </w:r>
            <w:r w:rsidR="008C34C8">
              <w:rPr>
                <w:sz w:val="20"/>
                <w:szCs w:val="20"/>
              </w:rPr>
              <w:t>.</w:t>
            </w:r>
          </w:p>
        </w:tc>
      </w:tr>
      <w:tr w:rsidR="00AF19A9" w:rsidRPr="00BA2E47" w14:paraId="4F3D3DFB" w14:textId="77777777" w:rsidTr="00DA334B">
        <w:trPr>
          <w:cantSplit/>
        </w:trPr>
        <w:tc>
          <w:tcPr>
            <w:cnfStyle w:val="001000000000" w:firstRow="0" w:lastRow="0" w:firstColumn="1" w:lastColumn="0" w:oddVBand="0" w:evenVBand="0" w:oddHBand="0" w:evenHBand="0" w:firstRowFirstColumn="0" w:firstRowLastColumn="0" w:lastRowFirstColumn="0" w:lastRowLastColumn="0"/>
            <w:tcW w:w="145" w:type="pct"/>
            <w:vAlign w:val="center"/>
          </w:tcPr>
          <w:p w14:paraId="52E40B0A" w14:textId="77777777" w:rsidR="00004AC2" w:rsidRPr="006361EE" w:rsidRDefault="00004AC2" w:rsidP="0052545E">
            <w:pPr>
              <w:pStyle w:val="ListParagraph"/>
              <w:numPr>
                <w:ilvl w:val="0"/>
                <w:numId w:val="8"/>
              </w:numPr>
              <w:ind w:left="29" w:right="-50" w:firstLine="2"/>
              <w:jc w:val="center"/>
              <w:rPr>
                <w:rFonts w:cs="Arial"/>
                <w:b w:val="0"/>
                <w:bCs w:val="0"/>
                <w:sz w:val="20"/>
                <w:szCs w:val="20"/>
              </w:rPr>
            </w:pPr>
          </w:p>
        </w:tc>
        <w:tc>
          <w:tcPr>
            <w:tcW w:w="1557" w:type="pct"/>
          </w:tcPr>
          <w:p w14:paraId="11885E65" w14:textId="275619C5" w:rsidR="00004AC2" w:rsidRPr="007368E0" w:rsidRDefault="00004AC2" w:rsidP="007368E0">
            <w:pPr>
              <w:cnfStyle w:val="000000000000" w:firstRow="0" w:lastRow="0" w:firstColumn="0" w:lastColumn="0" w:oddVBand="0" w:evenVBand="0" w:oddHBand="0" w:evenHBand="0" w:firstRowFirstColumn="0" w:firstRowLastColumn="0" w:lastRowFirstColumn="0" w:lastRowLastColumn="0"/>
              <w:rPr>
                <w:sz w:val="20"/>
                <w:szCs w:val="20"/>
              </w:rPr>
            </w:pPr>
            <w:r w:rsidRPr="007368E0">
              <w:rPr>
                <w:sz w:val="20"/>
              </w:rPr>
              <w:t>FSANZ has 'cherry picked' evidence in considering iron in isolation from soy leghemoglobin and not within the food matrix. This includes how other ingredients/nutrients are made or interact together</w:t>
            </w:r>
            <w:r w:rsidR="002419D1">
              <w:rPr>
                <w:sz w:val="20"/>
              </w:rPr>
              <w:t>.</w:t>
            </w:r>
          </w:p>
        </w:tc>
        <w:tc>
          <w:tcPr>
            <w:tcW w:w="780" w:type="pct"/>
          </w:tcPr>
          <w:p w14:paraId="379A016A" w14:textId="735BDC88" w:rsidR="00004AC2" w:rsidRPr="007368E0" w:rsidRDefault="007368E0" w:rsidP="007368E0">
            <w:pPr>
              <w:cnfStyle w:val="000000000000" w:firstRow="0" w:lastRow="0" w:firstColumn="0" w:lastColumn="0" w:oddVBand="0" w:evenVBand="0" w:oddHBand="0" w:evenHBand="0" w:firstRowFirstColumn="0" w:firstRowLastColumn="0" w:lastRowFirstColumn="0" w:lastRowLastColumn="0"/>
              <w:rPr>
                <w:sz w:val="20"/>
                <w:szCs w:val="20"/>
              </w:rPr>
            </w:pPr>
            <w:r>
              <w:rPr>
                <w:sz w:val="20"/>
              </w:rPr>
              <w:t>Primary production organisation (1); Consumer organisation (2)</w:t>
            </w:r>
            <w:r w:rsidR="00004AC2" w:rsidRPr="007368E0">
              <w:rPr>
                <w:sz w:val="20"/>
              </w:rPr>
              <w:t xml:space="preserve"> </w:t>
            </w:r>
          </w:p>
        </w:tc>
        <w:tc>
          <w:tcPr>
            <w:tcW w:w="2518" w:type="pct"/>
          </w:tcPr>
          <w:p w14:paraId="6FF8557F" w14:textId="3F4034AF" w:rsidR="003F6586" w:rsidRDefault="005E56BF" w:rsidP="007368E0">
            <w:pPr>
              <w:cnfStyle w:val="000000000000" w:firstRow="0" w:lastRow="0" w:firstColumn="0" w:lastColumn="0" w:oddVBand="0" w:evenVBand="0" w:oddHBand="0" w:evenHBand="0" w:firstRowFirstColumn="0" w:firstRowLastColumn="0" w:lastRowFirstColumn="0" w:lastRowLastColumn="0"/>
              <w:rPr>
                <w:sz w:val="20"/>
              </w:rPr>
            </w:pPr>
            <w:r>
              <w:rPr>
                <w:sz w:val="20"/>
              </w:rPr>
              <w:t>FSANZ</w:t>
            </w:r>
            <w:r w:rsidR="00352771">
              <w:rPr>
                <w:sz w:val="20"/>
              </w:rPr>
              <w:t xml:space="preserve"> </w:t>
            </w:r>
            <w:r>
              <w:rPr>
                <w:sz w:val="20"/>
              </w:rPr>
              <w:t>describe</w:t>
            </w:r>
            <w:r w:rsidR="00D906C9">
              <w:rPr>
                <w:sz w:val="20"/>
              </w:rPr>
              <w:t>s</w:t>
            </w:r>
            <w:r>
              <w:rPr>
                <w:sz w:val="20"/>
              </w:rPr>
              <w:t xml:space="preserve"> in SD1 various factors that </w:t>
            </w:r>
            <w:r w:rsidR="0002417C">
              <w:rPr>
                <w:sz w:val="20"/>
              </w:rPr>
              <w:t xml:space="preserve">can </w:t>
            </w:r>
            <w:r>
              <w:rPr>
                <w:sz w:val="20"/>
              </w:rPr>
              <w:t>influence iron absorption</w:t>
            </w:r>
            <w:r w:rsidR="00352771">
              <w:rPr>
                <w:sz w:val="20"/>
              </w:rPr>
              <w:t xml:space="preserve">, </w:t>
            </w:r>
            <w:r w:rsidR="00D906C9">
              <w:rPr>
                <w:sz w:val="20"/>
              </w:rPr>
              <w:t>including the effects of interactions between iron and</w:t>
            </w:r>
            <w:r w:rsidR="00723C03">
              <w:rPr>
                <w:sz w:val="20"/>
              </w:rPr>
              <w:t xml:space="preserve"> other</w:t>
            </w:r>
            <w:r w:rsidR="00D906C9">
              <w:rPr>
                <w:sz w:val="20"/>
              </w:rPr>
              <w:t xml:space="preserve"> food components</w:t>
            </w:r>
            <w:r w:rsidR="003F6586" w:rsidDel="006D339F">
              <w:rPr>
                <w:sz w:val="20"/>
              </w:rPr>
              <w:t>,</w:t>
            </w:r>
            <w:r w:rsidR="003F6586">
              <w:rPr>
                <w:sz w:val="20"/>
              </w:rPr>
              <w:t xml:space="preserve"> and the broad ranges </w:t>
            </w:r>
            <w:r>
              <w:rPr>
                <w:sz w:val="20"/>
              </w:rPr>
              <w:t xml:space="preserve">reported in the literature for the bioavailability of </w:t>
            </w:r>
            <w:r w:rsidR="003F6586">
              <w:rPr>
                <w:sz w:val="20"/>
              </w:rPr>
              <w:t xml:space="preserve">dietary </w:t>
            </w:r>
            <w:r>
              <w:rPr>
                <w:sz w:val="20"/>
              </w:rPr>
              <w:t>haem and non-haem iron</w:t>
            </w:r>
            <w:r w:rsidR="00352771">
              <w:rPr>
                <w:sz w:val="20"/>
              </w:rPr>
              <w:t xml:space="preserve">. </w:t>
            </w:r>
          </w:p>
          <w:p w14:paraId="1C03E3F9" w14:textId="77777777" w:rsidR="003F6586" w:rsidRDefault="003F6586" w:rsidP="007368E0">
            <w:pPr>
              <w:cnfStyle w:val="000000000000" w:firstRow="0" w:lastRow="0" w:firstColumn="0" w:lastColumn="0" w:oddVBand="0" w:evenVBand="0" w:oddHBand="0" w:evenHBand="0" w:firstRowFirstColumn="0" w:firstRowLastColumn="0" w:lastRowFirstColumn="0" w:lastRowLastColumn="0"/>
              <w:rPr>
                <w:sz w:val="20"/>
              </w:rPr>
            </w:pPr>
          </w:p>
          <w:p w14:paraId="2A35063E" w14:textId="2D5F8CCD" w:rsidR="00004AC2" w:rsidRPr="007368E0" w:rsidRDefault="00004AC2" w:rsidP="00352771">
            <w:pPr>
              <w:cnfStyle w:val="000000000000" w:firstRow="0" w:lastRow="0" w:firstColumn="0" w:lastColumn="0" w:oddVBand="0" w:evenVBand="0" w:oddHBand="0" w:evenHBand="0" w:firstRowFirstColumn="0" w:firstRowLastColumn="0" w:lastRowFirstColumn="0" w:lastRowLastColumn="0"/>
              <w:rPr>
                <w:sz w:val="20"/>
              </w:rPr>
            </w:pPr>
          </w:p>
        </w:tc>
      </w:tr>
      <w:tr w:rsidR="007368E0" w:rsidRPr="00BA2E47" w14:paraId="5C505E5F" w14:textId="77777777" w:rsidTr="00525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66552725" w14:textId="77777777" w:rsidR="007368E0" w:rsidRPr="002A66F7" w:rsidRDefault="007368E0" w:rsidP="0052545E">
            <w:pPr>
              <w:spacing w:before="240" w:after="240"/>
              <w:ind w:left="29" w:right="-50" w:firstLine="2"/>
              <w:jc w:val="center"/>
              <w:rPr>
                <w:rFonts w:cs="Arial"/>
                <w:sz w:val="20"/>
                <w:szCs w:val="20"/>
              </w:rPr>
            </w:pPr>
          </w:p>
        </w:tc>
        <w:tc>
          <w:tcPr>
            <w:tcW w:w="4855" w:type="pct"/>
            <w:gridSpan w:val="3"/>
          </w:tcPr>
          <w:p w14:paraId="53D2E2B7" w14:textId="19352A55" w:rsidR="007368E0" w:rsidRPr="003745DF" w:rsidRDefault="007368E0" w:rsidP="007368E0">
            <w:pPr>
              <w:spacing w:before="240" w:after="240"/>
              <w:ind w:left="87" w:hanging="87"/>
              <w:jc w:val="center"/>
              <w:cnfStyle w:val="000000100000" w:firstRow="0" w:lastRow="0" w:firstColumn="0" w:lastColumn="0" w:oddVBand="0" w:evenVBand="0" w:oddHBand="1" w:evenHBand="0" w:firstRowFirstColumn="0" w:firstRowLastColumn="0" w:lastRowFirstColumn="0" w:lastRowLastColumn="0"/>
              <w:rPr>
                <w:sz w:val="20"/>
              </w:rPr>
            </w:pPr>
            <w:r>
              <w:rPr>
                <w:b/>
              </w:rPr>
              <w:t>Dietary Intake Assessment</w:t>
            </w:r>
          </w:p>
        </w:tc>
      </w:tr>
      <w:tr w:rsidR="00AF19A9" w:rsidRPr="00BA2E47" w14:paraId="3AF8B6E8" w14:textId="77777777" w:rsidTr="005440CC">
        <w:tc>
          <w:tcPr>
            <w:cnfStyle w:val="001000000000" w:firstRow="0" w:lastRow="0" w:firstColumn="1" w:lastColumn="0" w:oddVBand="0" w:evenVBand="0" w:oddHBand="0" w:evenHBand="0" w:firstRowFirstColumn="0" w:firstRowLastColumn="0" w:lastRowFirstColumn="0" w:lastRowLastColumn="0"/>
            <w:tcW w:w="145" w:type="pct"/>
            <w:vAlign w:val="center"/>
          </w:tcPr>
          <w:p w14:paraId="6C2189EB" w14:textId="4A8BBE28" w:rsidR="00004AC2" w:rsidRPr="006361EE" w:rsidRDefault="00004AC2" w:rsidP="0052545E">
            <w:pPr>
              <w:pStyle w:val="ListParagraph"/>
              <w:numPr>
                <w:ilvl w:val="0"/>
                <w:numId w:val="8"/>
              </w:numPr>
              <w:ind w:left="29" w:right="-50" w:firstLine="2"/>
              <w:jc w:val="center"/>
              <w:rPr>
                <w:rFonts w:cs="Arial"/>
                <w:b w:val="0"/>
                <w:bCs w:val="0"/>
                <w:sz w:val="20"/>
                <w:szCs w:val="20"/>
              </w:rPr>
            </w:pPr>
          </w:p>
        </w:tc>
        <w:tc>
          <w:tcPr>
            <w:tcW w:w="1557" w:type="pct"/>
          </w:tcPr>
          <w:p w14:paraId="5DB50078" w14:textId="5F54C97C" w:rsidR="00004AC2" w:rsidRPr="007368E0" w:rsidRDefault="00004AC2" w:rsidP="007368E0">
            <w:pPr>
              <w:cnfStyle w:val="000000000000" w:firstRow="0" w:lastRow="0" w:firstColumn="0" w:lastColumn="0" w:oddVBand="0" w:evenVBand="0" w:oddHBand="0" w:evenHBand="0" w:firstRowFirstColumn="0" w:firstRowLastColumn="0" w:lastRowFirstColumn="0" w:lastRowLastColumn="0"/>
              <w:rPr>
                <w:b/>
                <w:sz w:val="20"/>
              </w:rPr>
            </w:pPr>
            <w:r w:rsidRPr="007368E0">
              <w:rPr>
                <w:sz w:val="20"/>
              </w:rPr>
              <w:t>NZ survey data upon which FSANZ based its DIA is outdated and therefore not representative of current diets. Modelling should more accurately reflect actual intake of these products.</w:t>
            </w:r>
          </w:p>
        </w:tc>
        <w:tc>
          <w:tcPr>
            <w:tcW w:w="780" w:type="pct"/>
          </w:tcPr>
          <w:p w14:paraId="03DFDE6E" w14:textId="5F38F5DA" w:rsidR="00004AC2" w:rsidRPr="007368E0" w:rsidRDefault="007368E0" w:rsidP="007368E0">
            <w:pPr>
              <w:cnfStyle w:val="000000000000" w:firstRow="0" w:lastRow="0" w:firstColumn="0" w:lastColumn="0" w:oddVBand="0" w:evenVBand="0" w:oddHBand="0" w:evenHBand="0" w:firstRowFirstColumn="0" w:firstRowLastColumn="0" w:lastRowFirstColumn="0" w:lastRowLastColumn="0"/>
              <w:rPr>
                <w:sz w:val="20"/>
              </w:rPr>
            </w:pPr>
            <w:r w:rsidRPr="007368E0">
              <w:rPr>
                <w:sz w:val="20"/>
              </w:rPr>
              <w:t>Primary production organisation (1)</w:t>
            </w:r>
          </w:p>
        </w:tc>
        <w:tc>
          <w:tcPr>
            <w:tcW w:w="2518" w:type="pct"/>
          </w:tcPr>
          <w:p w14:paraId="54E5276A" w14:textId="186F1937" w:rsidR="00AD3D64" w:rsidRPr="007368E0" w:rsidRDefault="00004AC2" w:rsidP="007368E0">
            <w:pPr>
              <w:cnfStyle w:val="000000000000" w:firstRow="0" w:lastRow="0" w:firstColumn="0" w:lastColumn="0" w:oddVBand="0" w:evenVBand="0" w:oddHBand="0" w:evenHBand="0" w:firstRowFirstColumn="0" w:firstRowLastColumn="0" w:lastRowFirstColumn="0" w:lastRowLastColumn="0"/>
              <w:rPr>
                <w:sz w:val="20"/>
              </w:rPr>
            </w:pPr>
            <w:r w:rsidRPr="007368E0">
              <w:rPr>
                <w:sz w:val="20"/>
              </w:rPr>
              <w:t>FSANZ acknowledges that the most recent national nutrition survey (NNS) data for Australia and New Zealand is not current. However these are the best data sets available to FSANZ for quantifying dietary intake at present.</w:t>
            </w:r>
          </w:p>
          <w:p w14:paraId="2D690B28" w14:textId="77777777" w:rsidR="00AD3D64" w:rsidRPr="007368E0" w:rsidRDefault="00AD3D64" w:rsidP="007368E0">
            <w:pPr>
              <w:cnfStyle w:val="000000000000" w:firstRow="0" w:lastRow="0" w:firstColumn="0" w:lastColumn="0" w:oddVBand="0" w:evenVBand="0" w:oddHBand="0" w:evenHBand="0" w:firstRowFirstColumn="0" w:firstRowLastColumn="0" w:lastRowFirstColumn="0" w:lastRowLastColumn="0"/>
              <w:rPr>
                <w:sz w:val="20"/>
              </w:rPr>
            </w:pPr>
          </w:p>
          <w:p w14:paraId="1B00A3F5" w14:textId="061B74E3" w:rsidR="00AD3D64" w:rsidRDefault="00004AC2" w:rsidP="007368E0">
            <w:pPr>
              <w:cnfStyle w:val="000000000000" w:firstRow="0" w:lastRow="0" w:firstColumn="0" w:lastColumn="0" w:oddVBand="0" w:evenVBand="0" w:oddHBand="0" w:evenHBand="0" w:firstRowFirstColumn="0" w:firstRowLastColumn="0" w:lastRowFirstColumn="0" w:lastRowLastColumn="0"/>
              <w:rPr>
                <w:sz w:val="20"/>
              </w:rPr>
            </w:pPr>
            <w:r w:rsidRPr="007368E0">
              <w:rPr>
                <w:sz w:val="20"/>
              </w:rPr>
              <w:t xml:space="preserve">The estimated intakes of LegH Prep and iron assume that individuals will consume meat analogue products containing LegH Prep in the same amounts they consume minced meat and poultry, and vegetarian meat alternatives, as reported in the latest NNS. </w:t>
            </w:r>
          </w:p>
          <w:p w14:paraId="665FCD67" w14:textId="77777777" w:rsidR="002202A9" w:rsidRPr="007368E0" w:rsidRDefault="002202A9" w:rsidP="007368E0">
            <w:pPr>
              <w:cnfStyle w:val="000000000000" w:firstRow="0" w:lastRow="0" w:firstColumn="0" w:lastColumn="0" w:oddVBand="0" w:evenVBand="0" w:oddHBand="0" w:evenHBand="0" w:firstRowFirstColumn="0" w:firstRowLastColumn="0" w:lastRowFirstColumn="0" w:lastRowLastColumn="0"/>
              <w:rPr>
                <w:sz w:val="20"/>
              </w:rPr>
            </w:pPr>
          </w:p>
          <w:p w14:paraId="31744470" w14:textId="53F36A3D" w:rsidR="00AD3D64" w:rsidRPr="007368E0" w:rsidRDefault="00004AC2" w:rsidP="007368E0">
            <w:pPr>
              <w:cnfStyle w:val="000000000000" w:firstRow="0" w:lastRow="0" w:firstColumn="0" w:lastColumn="0" w:oddVBand="0" w:evenVBand="0" w:oddHBand="0" w:evenHBand="0" w:firstRowFirstColumn="0" w:firstRowLastColumn="0" w:lastRowFirstColumn="0" w:lastRowLastColumn="0"/>
              <w:rPr>
                <w:sz w:val="20"/>
              </w:rPr>
            </w:pPr>
            <w:r w:rsidRPr="007368E0">
              <w:rPr>
                <w:sz w:val="20"/>
              </w:rPr>
              <w:t xml:space="preserve">These foods best reflect the ways in which foods containing </w:t>
            </w:r>
            <w:r w:rsidR="00AD3D64" w:rsidRPr="007368E0">
              <w:rPr>
                <w:sz w:val="20"/>
              </w:rPr>
              <w:t>soy leghemoglobin</w:t>
            </w:r>
            <w:r w:rsidR="000F22E9" w:rsidRPr="007368E0">
              <w:rPr>
                <w:sz w:val="20"/>
              </w:rPr>
              <w:t xml:space="preserve"> in the form of LegH Prep</w:t>
            </w:r>
            <w:r w:rsidRPr="007368E0">
              <w:rPr>
                <w:sz w:val="20"/>
              </w:rPr>
              <w:t xml:space="preserve"> (if </w:t>
            </w:r>
            <w:r w:rsidR="000F22E9" w:rsidRPr="007368E0">
              <w:rPr>
                <w:sz w:val="20"/>
              </w:rPr>
              <w:t>permitted</w:t>
            </w:r>
            <w:r w:rsidRPr="007368E0">
              <w:rPr>
                <w:sz w:val="20"/>
              </w:rPr>
              <w:t xml:space="preserve">) could be consumed, for example as burger patties, sausages and in place of minced meat in mixed foods. In addition, the modelling takes into account the range of consumption amounts reported within the population, so includes people who have consumption amounts of meat analogues containing </w:t>
            </w:r>
            <w:r w:rsidR="00AD3D64" w:rsidRPr="007368E0">
              <w:rPr>
                <w:sz w:val="20"/>
              </w:rPr>
              <w:t>soy leghemoglobin</w:t>
            </w:r>
            <w:r w:rsidRPr="007368E0">
              <w:rPr>
                <w:sz w:val="20"/>
              </w:rPr>
              <w:t xml:space="preserve"> equivalent to eating a burger containing either one or two patties. </w:t>
            </w:r>
          </w:p>
          <w:p w14:paraId="60F80098" w14:textId="77777777" w:rsidR="00AD3D64" w:rsidRPr="007368E0" w:rsidRDefault="00AD3D64" w:rsidP="007368E0">
            <w:pPr>
              <w:cnfStyle w:val="000000000000" w:firstRow="0" w:lastRow="0" w:firstColumn="0" w:lastColumn="0" w:oddVBand="0" w:evenVBand="0" w:oddHBand="0" w:evenHBand="0" w:firstRowFirstColumn="0" w:firstRowLastColumn="0" w:lastRowFirstColumn="0" w:lastRowLastColumn="0"/>
              <w:rPr>
                <w:sz w:val="20"/>
              </w:rPr>
            </w:pPr>
          </w:p>
          <w:p w14:paraId="3E64C57A" w14:textId="48BA699A" w:rsidR="00004AC2" w:rsidRPr="007368E0" w:rsidRDefault="00004AC2" w:rsidP="00DA334B">
            <w:pPr>
              <w:spacing w:after="240"/>
              <w:cnfStyle w:val="000000000000" w:firstRow="0" w:lastRow="0" w:firstColumn="0" w:lastColumn="0" w:oddVBand="0" w:evenVBand="0" w:oddHBand="0" w:evenHBand="0" w:firstRowFirstColumn="0" w:firstRowLastColumn="0" w:lastRowFirstColumn="0" w:lastRowLastColumn="0"/>
              <w:rPr>
                <w:sz w:val="20"/>
              </w:rPr>
            </w:pPr>
            <w:r w:rsidRPr="007368E0">
              <w:rPr>
                <w:sz w:val="20"/>
              </w:rPr>
              <w:t xml:space="preserve">A comparison of the results from the Australian NNSs from 1983,1985 and 1995 showed the consumption of dietary staples, including meat and poultry, remains fairly constant over time (Cook, Rutishauser &amp; Allsopp, 2001; Cook, Rutishauser &amp; Seelig, 2001). This is </w:t>
            </w:r>
            <w:r w:rsidR="006D731A" w:rsidRPr="007368E0">
              <w:rPr>
                <w:sz w:val="20"/>
              </w:rPr>
              <w:t xml:space="preserve">also </w:t>
            </w:r>
            <w:r w:rsidRPr="007368E0">
              <w:rPr>
                <w:sz w:val="20"/>
              </w:rPr>
              <w:t>likely to be the case for staples in the New Zealand diet.</w:t>
            </w:r>
          </w:p>
        </w:tc>
      </w:tr>
      <w:tr w:rsidR="00AF19A9" w:rsidRPr="00BA2E47" w14:paraId="5BA95746" w14:textId="77777777" w:rsidTr="00544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35ECDA43" w14:textId="7EAE12E0" w:rsidR="00004AC2" w:rsidRPr="006361EE" w:rsidRDefault="00004AC2" w:rsidP="0052545E">
            <w:pPr>
              <w:pStyle w:val="ListParagraph"/>
              <w:numPr>
                <w:ilvl w:val="0"/>
                <w:numId w:val="8"/>
              </w:numPr>
              <w:ind w:left="29" w:right="-50" w:firstLine="2"/>
              <w:jc w:val="center"/>
              <w:rPr>
                <w:rFonts w:cs="Arial"/>
                <w:b w:val="0"/>
                <w:bCs w:val="0"/>
                <w:sz w:val="20"/>
                <w:szCs w:val="20"/>
              </w:rPr>
            </w:pPr>
          </w:p>
        </w:tc>
        <w:tc>
          <w:tcPr>
            <w:tcW w:w="1557" w:type="pct"/>
          </w:tcPr>
          <w:p w14:paraId="5A7E1AE6" w14:textId="3604C92F" w:rsidR="00004AC2" w:rsidRPr="00F329F5" w:rsidRDefault="00004AC2" w:rsidP="00F329F5">
            <w:pPr>
              <w:cnfStyle w:val="000000100000" w:firstRow="0" w:lastRow="0" w:firstColumn="0" w:lastColumn="0" w:oddVBand="0" w:evenVBand="0" w:oddHBand="1" w:evenHBand="0" w:firstRowFirstColumn="0" w:firstRowLastColumn="0" w:lastRowFirstColumn="0" w:lastRowLastColumn="0"/>
              <w:rPr>
                <w:sz w:val="20"/>
              </w:rPr>
            </w:pPr>
            <w:r w:rsidRPr="00F329F5">
              <w:rPr>
                <w:sz w:val="20"/>
              </w:rPr>
              <w:t>Provisions need to be put in place to ensure safety of under 2 years of age</w:t>
            </w:r>
          </w:p>
        </w:tc>
        <w:tc>
          <w:tcPr>
            <w:tcW w:w="780" w:type="pct"/>
          </w:tcPr>
          <w:p w14:paraId="32DACC3D" w14:textId="79BEF882" w:rsidR="00004AC2" w:rsidRPr="00F329F5" w:rsidRDefault="007368E0" w:rsidP="00F329F5">
            <w:pPr>
              <w:cnfStyle w:val="000000100000" w:firstRow="0" w:lastRow="0" w:firstColumn="0" w:lastColumn="0" w:oddVBand="0" w:evenVBand="0" w:oddHBand="1" w:evenHBand="0" w:firstRowFirstColumn="0" w:firstRowLastColumn="0" w:lastRowFirstColumn="0" w:lastRowLastColumn="0"/>
              <w:rPr>
                <w:sz w:val="20"/>
              </w:rPr>
            </w:pPr>
            <w:r w:rsidRPr="00F329F5">
              <w:rPr>
                <w:sz w:val="20"/>
              </w:rPr>
              <w:t>Primary production organisation (1)</w:t>
            </w:r>
          </w:p>
        </w:tc>
        <w:tc>
          <w:tcPr>
            <w:tcW w:w="2518" w:type="pct"/>
          </w:tcPr>
          <w:p w14:paraId="0ED9FC1B" w14:textId="145792F9" w:rsidR="00004AC2" w:rsidRPr="00F329F5" w:rsidRDefault="00004AC2" w:rsidP="00DA334B">
            <w:pPr>
              <w:spacing w:after="240"/>
              <w:cnfStyle w:val="000000100000" w:firstRow="0" w:lastRow="0" w:firstColumn="0" w:lastColumn="0" w:oddVBand="0" w:evenVBand="0" w:oddHBand="1" w:evenHBand="0" w:firstRowFirstColumn="0" w:firstRowLastColumn="0" w:lastRowFirstColumn="0" w:lastRowLastColumn="0"/>
              <w:rPr>
                <w:sz w:val="20"/>
              </w:rPr>
            </w:pPr>
            <w:r w:rsidRPr="00F329F5">
              <w:rPr>
                <w:sz w:val="20"/>
              </w:rPr>
              <w:t>The toxicological assessment did not identify any population sub-groups for which there were specific safety considerations. Therefore the dietary intake assessment was conducted for the general Australian and New Zealand populations for which national nutrition survey data is available (2 years and over for Australia, 5 years and over for New Zealand). The dietary intake assessment estimates intake of LegH Prep and iron over a long period of time or lifetime, reflecting chronic dietary intake.</w:t>
            </w:r>
          </w:p>
        </w:tc>
      </w:tr>
      <w:tr w:rsidR="00AF19A9" w:rsidRPr="00BA2E47" w14:paraId="4E978635" w14:textId="77777777" w:rsidTr="005440CC">
        <w:tc>
          <w:tcPr>
            <w:cnfStyle w:val="001000000000" w:firstRow="0" w:lastRow="0" w:firstColumn="1" w:lastColumn="0" w:oddVBand="0" w:evenVBand="0" w:oddHBand="0" w:evenHBand="0" w:firstRowFirstColumn="0" w:firstRowLastColumn="0" w:lastRowFirstColumn="0" w:lastRowLastColumn="0"/>
            <w:tcW w:w="145" w:type="pct"/>
            <w:vAlign w:val="center"/>
          </w:tcPr>
          <w:p w14:paraId="32F0FF2C" w14:textId="09015CF3" w:rsidR="00004AC2" w:rsidRPr="006361EE" w:rsidRDefault="00004AC2" w:rsidP="0052545E">
            <w:pPr>
              <w:pStyle w:val="ListParagraph"/>
              <w:numPr>
                <w:ilvl w:val="0"/>
                <w:numId w:val="8"/>
              </w:numPr>
              <w:ind w:left="29" w:right="-50" w:firstLine="2"/>
              <w:contextualSpacing w:val="0"/>
              <w:jc w:val="center"/>
              <w:rPr>
                <w:rFonts w:cs="Arial"/>
                <w:b w:val="0"/>
                <w:bCs w:val="0"/>
                <w:sz w:val="20"/>
                <w:szCs w:val="20"/>
              </w:rPr>
            </w:pPr>
          </w:p>
        </w:tc>
        <w:tc>
          <w:tcPr>
            <w:tcW w:w="1557" w:type="pct"/>
          </w:tcPr>
          <w:p w14:paraId="627A06F6" w14:textId="17547495" w:rsidR="00004AC2" w:rsidRPr="00F329F5" w:rsidRDefault="00004AC2" w:rsidP="00F329F5">
            <w:pPr>
              <w:cnfStyle w:val="000000000000" w:firstRow="0" w:lastRow="0" w:firstColumn="0" w:lastColumn="0" w:oddVBand="0" w:evenVBand="0" w:oddHBand="0" w:evenHBand="0" w:firstRowFirstColumn="0" w:firstRowLastColumn="0" w:lastRowFirstColumn="0" w:lastRowLastColumn="0"/>
              <w:rPr>
                <w:sz w:val="20"/>
              </w:rPr>
            </w:pPr>
            <w:r w:rsidRPr="00F329F5">
              <w:rPr>
                <w:sz w:val="20"/>
              </w:rPr>
              <w:t>Consideration needs to be given to cooked product and iron composition because iron increases after cooking</w:t>
            </w:r>
          </w:p>
        </w:tc>
        <w:tc>
          <w:tcPr>
            <w:tcW w:w="780" w:type="pct"/>
          </w:tcPr>
          <w:p w14:paraId="7E69EC3F" w14:textId="710FF33B" w:rsidR="00004AC2" w:rsidRPr="00F329F5" w:rsidRDefault="007368E0" w:rsidP="00F329F5">
            <w:pPr>
              <w:cnfStyle w:val="000000000000" w:firstRow="0" w:lastRow="0" w:firstColumn="0" w:lastColumn="0" w:oddVBand="0" w:evenVBand="0" w:oddHBand="0" w:evenHBand="0" w:firstRowFirstColumn="0" w:firstRowLastColumn="0" w:lastRowFirstColumn="0" w:lastRowLastColumn="0"/>
              <w:rPr>
                <w:sz w:val="20"/>
              </w:rPr>
            </w:pPr>
            <w:r w:rsidRPr="00F329F5">
              <w:rPr>
                <w:sz w:val="20"/>
              </w:rPr>
              <w:t>Primary production organisation (1)</w:t>
            </w:r>
          </w:p>
        </w:tc>
        <w:tc>
          <w:tcPr>
            <w:tcW w:w="2518" w:type="pct"/>
          </w:tcPr>
          <w:p w14:paraId="409927C5" w14:textId="02F820A0" w:rsidR="00004AC2" w:rsidRPr="00F329F5" w:rsidRDefault="002202A9" w:rsidP="00DA334B">
            <w:pPr>
              <w:spacing w:after="240"/>
              <w:cnfStyle w:val="000000000000" w:firstRow="0" w:lastRow="0" w:firstColumn="0" w:lastColumn="0" w:oddVBand="0" w:evenVBand="0" w:oddHBand="0" w:evenHBand="0" w:firstRowFirstColumn="0" w:firstRowLastColumn="0" w:lastRowFirstColumn="0" w:lastRowLastColumn="0"/>
              <w:rPr>
                <w:sz w:val="20"/>
              </w:rPr>
            </w:pPr>
            <w:r w:rsidRPr="00484C3A">
              <w:rPr>
                <w:sz w:val="20"/>
              </w:rPr>
              <w:t xml:space="preserve">FSANZ’s dietary intake assessment takes into account that the Leg H Prep added to the raw product, and the iron </w:t>
            </w:r>
            <w:r w:rsidR="002D464B">
              <w:rPr>
                <w:sz w:val="20"/>
              </w:rPr>
              <w:t xml:space="preserve">it </w:t>
            </w:r>
            <w:r w:rsidRPr="00484C3A">
              <w:rPr>
                <w:sz w:val="20"/>
              </w:rPr>
              <w:t>contribute</w:t>
            </w:r>
            <w:r w:rsidR="002D464B">
              <w:rPr>
                <w:sz w:val="20"/>
              </w:rPr>
              <w:t>s</w:t>
            </w:r>
            <w:r w:rsidRPr="00484C3A">
              <w:rPr>
                <w:sz w:val="20"/>
              </w:rPr>
              <w:t xml:space="preserve"> would further concentrate where moisture loss occurs during cooking.</w:t>
            </w:r>
            <w:r>
              <w:rPr>
                <w:rFonts w:cs="Arial"/>
                <w:color w:val="44546A"/>
              </w:rPr>
              <w:t xml:space="preserve"> </w:t>
            </w:r>
            <w:r w:rsidR="00004AC2" w:rsidRPr="00F329F5">
              <w:rPr>
                <w:sz w:val="20"/>
              </w:rPr>
              <w:t xml:space="preserve">The range of meat analogue products that would contain LegH Prep, should the permission be approved, is unknown. Therefore it was assumed for the assessment that the moisture loss from cooking meat analogue products containing LegH Prep is equivalent to </w:t>
            </w:r>
            <w:r w:rsidR="00004AC2" w:rsidRPr="00F329F5">
              <w:rPr>
                <w:sz w:val="20"/>
              </w:rPr>
              <w:lastRenderedPageBreak/>
              <w:t>the moisture loss from cooking the minced meat and poultry or vegetarian meat alternatives when deriving the consumption amounts.</w:t>
            </w:r>
          </w:p>
        </w:tc>
      </w:tr>
    </w:tbl>
    <w:p w14:paraId="1A5283B9" w14:textId="0C6520F0" w:rsidR="00E175AB" w:rsidRPr="002D464B" w:rsidRDefault="00E175AB" w:rsidP="00D3171B"/>
    <w:p w14:paraId="2903C444" w14:textId="31A113A1" w:rsidR="00E175AB" w:rsidRDefault="00E175AB" w:rsidP="002D464B">
      <w:pPr>
        <w:pStyle w:val="FSTableTitle"/>
        <w:keepNext/>
        <w:keepLines/>
      </w:pPr>
      <w:r>
        <w:t>Table 2: Summary of issues with the final meat analogue product for sale</w:t>
      </w:r>
    </w:p>
    <w:p w14:paraId="108D381A" w14:textId="77777777" w:rsidR="00E175AB" w:rsidRPr="00B853D2" w:rsidRDefault="00E175AB" w:rsidP="002D464B">
      <w:pPr>
        <w:keepNext/>
        <w:keepLines/>
      </w:pPr>
    </w:p>
    <w:tbl>
      <w:tblPr>
        <w:tblStyle w:val="GridTable4-Accent3"/>
        <w:tblW w:w="5099" w:type="pct"/>
        <w:tblLayout w:type="fixed"/>
        <w:tblLook w:val="04A0" w:firstRow="1" w:lastRow="0" w:firstColumn="1" w:lastColumn="0" w:noHBand="0" w:noVBand="1"/>
        <w:tblCaption w:val="Table 2: Summary of issues with the final meat analogue product for sale"/>
        <w:tblDescription w:val="Summarises submission issues that were raised by stakeholders at the 1st CFS, and did not related directly to soy leghemoglobin in the form of LegH Prep"/>
      </w:tblPr>
      <w:tblGrid>
        <w:gridCol w:w="422"/>
        <w:gridCol w:w="4537"/>
        <w:gridCol w:w="2268"/>
        <w:gridCol w:w="7332"/>
      </w:tblGrid>
      <w:tr w:rsidR="00E175AB" w:rsidRPr="00BA2E47" w14:paraId="6532358C" w14:textId="77777777" w:rsidTr="008334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 w:type="pct"/>
            <w:tcBorders>
              <w:top w:val="none" w:sz="0" w:space="0" w:color="auto"/>
              <w:left w:val="none" w:sz="0" w:space="0" w:color="auto"/>
              <w:bottom w:val="none" w:sz="0" w:space="0" w:color="auto"/>
              <w:right w:val="none" w:sz="0" w:space="0" w:color="auto"/>
            </w:tcBorders>
            <w:vAlign w:val="center"/>
          </w:tcPr>
          <w:p w14:paraId="14ADF74B" w14:textId="77777777" w:rsidR="00E175AB" w:rsidRPr="006361EE" w:rsidRDefault="00E175AB" w:rsidP="002D464B">
            <w:pPr>
              <w:keepNext/>
              <w:keepLines/>
              <w:spacing w:after="240"/>
              <w:ind w:left="8" w:right="-71" w:firstLine="2"/>
              <w:jc w:val="right"/>
              <w:rPr>
                <w:rFonts w:cs="Arial"/>
                <w:b w:val="0"/>
                <w:bCs w:val="0"/>
                <w:sz w:val="20"/>
                <w:szCs w:val="20"/>
              </w:rPr>
            </w:pPr>
          </w:p>
        </w:tc>
        <w:tc>
          <w:tcPr>
            <w:tcW w:w="1558" w:type="pct"/>
            <w:tcBorders>
              <w:top w:val="none" w:sz="0" w:space="0" w:color="auto"/>
              <w:left w:val="none" w:sz="0" w:space="0" w:color="auto"/>
              <w:bottom w:val="none" w:sz="0" w:space="0" w:color="auto"/>
              <w:right w:val="none" w:sz="0" w:space="0" w:color="auto"/>
            </w:tcBorders>
          </w:tcPr>
          <w:p w14:paraId="70F4B469" w14:textId="77777777" w:rsidR="00E175AB" w:rsidRPr="0083347A" w:rsidRDefault="00E175AB" w:rsidP="002D464B">
            <w:pPr>
              <w:keepNext/>
              <w:keepLines/>
              <w:spacing w:after="240"/>
              <w:jc w:val="center"/>
              <w:cnfStyle w:val="100000000000" w:firstRow="1" w:lastRow="0" w:firstColumn="0" w:lastColumn="0" w:oddVBand="0" w:evenVBand="0" w:oddHBand="0" w:evenHBand="0" w:firstRowFirstColumn="0" w:firstRowLastColumn="0" w:lastRowFirstColumn="0" w:lastRowLastColumn="0"/>
              <w:rPr>
                <w:rFonts w:cs="Arial"/>
                <w:sz w:val="24"/>
                <w:szCs w:val="20"/>
              </w:rPr>
            </w:pPr>
            <w:r w:rsidRPr="0083347A">
              <w:rPr>
                <w:rFonts w:cs="Arial"/>
                <w:sz w:val="24"/>
                <w:szCs w:val="20"/>
              </w:rPr>
              <w:t>Issue</w:t>
            </w:r>
          </w:p>
        </w:tc>
        <w:tc>
          <w:tcPr>
            <w:tcW w:w="779" w:type="pct"/>
            <w:tcBorders>
              <w:top w:val="none" w:sz="0" w:space="0" w:color="auto"/>
              <w:left w:val="none" w:sz="0" w:space="0" w:color="auto"/>
              <w:bottom w:val="none" w:sz="0" w:space="0" w:color="auto"/>
              <w:right w:val="none" w:sz="0" w:space="0" w:color="auto"/>
            </w:tcBorders>
          </w:tcPr>
          <w:p w14:paraId="76BA1AE0" w14:textId="758EDB71" w:rsidR="00E175AB" w:rsidRPr="0083347A" w:rsidRDefault="00E175AB" w:rsidP="0083347A">
            <w:pPr>
              <w:keepNext/>
              <w:keepLines/>
              <w:spacing w:after="120"/>
              <w:jc w:val="center"/>
              <w:cnfStyle w:val="100000000000" w:firstRow="1" w:lastRow="0" w:firstColumn="0" w:lastColumn="0" w:oddVBand="0" w:evenVBand="0" w:oddHBand="0" w:evenHBand="0" w:firstRowFirstColumn="0" w:firstRowLastColumn="0" w:lastRowFirstColumn="0" w:lastRowLastColumn="0"/>
              <w:rPr>
                <w:rFonts w:cs="Arial"/>
                <w:sz w:val="24"/>
                <w:szCs w:val="20"/>
              </w:rPr>
            </w:pPr>
            <w:r w:rsidRPr="0083347A">
              <w:rPr>
                <w:rFonts w:cs="Arial"/>
                <w:sz w:val="24"/>
                <w:szCs w:val="20"/>
              </w:rPr>
              <w:t>Raised by (No. submitters)</w:t>
            </w:r>
          </w:p>
        </w:tc>
        <w:tc>
          <w:tcPr>
            <w:tcW w:w="2518" w:type="pct"/>
            <w:tcBorders>
              <w:top w:val="none" w:sz="0" w:space="0" w:color="auto"/>
              <w:left w:val="none" w:sz="0" w:space="0" w:color="auto"/>
              <w:bottom w:val="none" w:sz="0" w:space="0" w:color="auto"/>
              <w:right w:val="none" w:sz="0" w:space="0" w:color="auto"/>
            </w:tcBorders>
          </w:tcPr>
          <w:p w14:paraId="5CA5F198" w14:textId="77777777" w:rsidR="00E175AB" w:rsidRPr="0083347A" w:rsidRDefault="00E175AB" w:rsidP="002D464B">
            <w:pPr>
              <w:keepNext/>
              <w:keepLines/>
              <w:spacing w:after="240"/>
              <w:jc w:val="center"/>
              <w:cnfStyle w:val="100000000000" w:firstRow="1" w:lastRow="0" w:firstColumn="0" w:lastColumn="0" w:oddVBand="0" w:evenVBand="0" w:oddHBand="0" w:evenHBand="0" w:firstRowFirstColumn="0" w:firstRowLastColumn="0" w:lastRowFirstColumn="0" w:lastRowLastColumn="0"/>
              <w:rPr>
                <w:rFonts w:cs="Arial"/>
                <w:sz w:val="24"/>
                <w:szCs w:val="20"/>
              </w:rPr>
            </w:pPr>
            <w:r w:rsidRPr="0083347A">
              <w:rPr>
                <w:rFonts w:cs="Arial"/>
                <w:sz w:val="24"/>
                <w:szCs w:val="20"/>
              </w:rPr>
              <w:t>FSANZ response</w:t>
            </w:r>
          </w:p>
        </w:tc>
      </w:tr>
      <w:tr w:rsidR="00E175AB" w:rsidRPr="00BA2E47" w14:paraId="78502E2B" w14:textId="77777777" w:rsidTr="00E17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523D3A30" w14:textId="7081E6E1" w:rsidR="00E175AB" w:rsidRPr="00A05329" w:rsidRDefault="00E175AB" w:rsidP="00A05329">
            <w:pPr>
              <w:ind w:left="360" w:right="-71"/>
              <w:jc w:val="right"/>
              <w:rPr>
                <w:rFonts w:cs="Arial"/>
                <w:sz w:val="20"/>
                <w:szCs w:val="20"/>
              </w:rPr>
            </w:pPr>
          </w:p>
        </w:tc>
        <w:tc>
          <w:tcPr>
            <w:tcW w:w="4855" w:type="pct"/>
            <w:gridSpan w:val="3"/>
          </w:tcPr>
          <w:p w14:paraId="11EE26B8" w14:textId="256F684E" w:rsidR="00E175AB" w:rsidRPr="0059653B" w:rsidRDefault="0059653B" w:rsidP="00E20660">
            <w:pPr>
              <w:spacing w:before="240" w:after="240"/>
              <w:ind w:right="135"/>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59653B">
              <w:rPr>
                <w:rFonts w:cs="Arial"/>
                <w:b/>
                <w:sz w:val="24"/>
                <w:szCs w:val="20"/>
              </w:rPr>
              <w:t>Labelling of the final meat analogue products for sale</w:t>
            </w:r>
          </w:p>
        </w:tc>
      </w:tr>
      <w:tr w:rsidR="005122AC" w:rsidRPr="00BA2E47" w14:paraId="6100D1A5" w14:textId="77777777" w:rsidTr="0083347A">
        <w:tc>
          <w:tcPr>
            <w:cnfStyle w:val="001000000000" w:firstRow="0" w:lastRow="0" w:firstColumn="1" w:lastColumn="0" w:oddVBand="0" w:evenVBand="0" w:oddHBand="0" w:evenHBand="0" w:firstRowFirstColumn="0" w:firstRowLastColumn="0" w:lastRowFirstColumn="0" w:lastRowLastColumn="0"/>
            <w:tcW w:w="145" w:type="pct"/>
            <w:vAlign w:val="center"/>
          </w:tcPr>
          <w:p w14:paraId="4B4DF6D4" w14:textId="3939005C" w:rsidR="005122AC" w:rsidRDefault="005122AC" w:rsidP="005122AC">
            <w:pPr>
              <w:pStyle w:val="ListParagraph"/>
              <w:numPr>
                <w:ilvl w:val="0"/>
                <w:numId w:val="24"/>
              </w:numPr>
              <w:ind w:left="8" w:right="-71" w:firstLine="2"/>
              <w:jc w:val="right"/>
              <w:rPr>
                <w:rFonts w:cs="Arial"/>
                <w:sz w:val="20"/>
                <w:szCs w:val="20"/>
              </w:rPr>
            </w:pPr>
          </w:p>
        </w:tc>
        <w:tc>
          <w:tcPr>
            <w:tcW w:w="1558" w:type="pct"/>
          </w:tcPr>
          <w:p w14:paraId="0902FC09" w14:textId="1B80084A" w:rsidR="005122AC" w:rsidRPr="00081EB9" w:rsidRDefault="005122AC" w:rsidP="005122AC">
            <w:pPr>
              <w:cnfStyle w:val="000000000000" w:firstRow="0" w:lastRow="0" w:firstColumn="0" w:lastColumn="0" w:oddVBand="0" w:evenVBand="0" w:oddHBand="0" w:evenHBand="0" w:firstRowFirstColumn="0" w:firstRowLastColumn="0" w:lastRowFirstColumn="0" w:lastRowLastColumn="0"/>
              <w:rPr>
                <w:sz w:val="20"/>
                <w:szCs w:val="20"/>
              </w:rPr>
            </w:pPr>
            <w:r w:rsidRPr="00081EB9">
              <w:rPr>
                <w:sz w:val="20"/>
                <w:szCs w:val="20"/>
                <w:lang w:val="en-AU"/>
              </w:rPr>
              <w:t>Sought clarification that soy declaration requirements will apply to</w:t>
            </w:r>
            <w:r>
              <w:rPr>
                <w:sz w:val="20"/>
                <w:szCs w:val="20"/>
                <w:lang w:val="en-AU"/>
              </w:rPr>
              <w:t xml:space="preserve"> meat analogue</w:t>
            </w:r>
            <w:r w:rsidRPr="00081EB9">
              <w:rPr>
                <w:sz w:val="20"/>
                <w:szCs w:val="20"/>
                <w:lang w:val="en-AU"/>
              </w:rPr>
              <w:t xml:space="preserve"> products containing </w:t>
            </w:r>
            <w:r>
              <w:rPr>
                <w:sz w:val="20"/>
                <w:szCs w:val="20"/>
                <w:lang w:val="en-AU"/>
              </w:rPr>
              <w:t>s</w:t>
            </w:r>
            <w:r w:rsidRPr="00081EB9">
              <w:rPr>
                <w:sz w:val="20"/>
                <w:szCs w:val="20"/>
                <w:lang w:val="en-AU"/>
              </w:rPr>
              <w:t>oy leghemoglobin.</w:t>
            </w:r>
          </w:p>
        </w:tc>
        <w:tc>
          <w:tcPr>
            <w:tcW w:w="779" w:type="pct"/>
          </w:tcPr>
          <w:p w14:paraId="528B90A7" w14:textId="19CAB8BB" w:rsidR="005122AC" w:rsidRPr="00081EB9" w:rsidRDefault="005122AC" w:rsidP="00DA334B">
            <w:pPr>
              <w:spacing w:after="240"/>
              <w:cnfStyle w:val="000000000000" w:firstRow="0" w:lastRow="0" w:firstColumn="0" w:lastColumn="0" w:oddVBand="0" w:evenVBand="0" w:oddHBand="0" w:evenHBand="0" w:firstRowFirstColumn="0" w:firstRowLastColumn="0" w:lastRowFirstColumn="0" w:lastRowLastColumn="0"/>
              <w:rPr>
                <w:rFonts w:cs="Arial"/>
                <w:sz w:val="20"/>
                <w:szCs w:val="20"/>
              </w:rPr>
            </w:pPr>
            <w:r w:rsidRPr="00081EB9">
              <w:rPr>
                <w:sz w:val="20"/>
                <w:szCs w:val="20"/>
              </w:rPr>
              <w:t>Government (1)</w:t>
            </w:r>
            <w:r>
              <w:rPr>
                <w:sz w:val="20"/>
                <w:szCs w:val="20"/>
              </w:rPr>
              <w:t>; Not for Profit (2); Primary production organisation (1)</w:t>
            </w:r>
          </w:p>
        </w:tc>
        <w:tc>
          <w:tcPr>
            <w:tcW w:w="2518" w:type="pct"/>
          </w:tcPr>
          <w:p w14:paraId="4F393706" w14:textId="6C00F135" w:rsidR="005122AC" w:rsidRPr="00081EB9" w:rsidRDefault="005122AC" w:rsidP="005122AC">
            <w:pPr>
              <w:cnfStyle w:val="000000000000" w:firstRow="0" w:lastRow="0" w:firstColumn="0" w:lastColumn="0" w:oddVBand="0" w:evenVBand="0" w:oddHBand="0" w:evenHBand="0" w:firstRowFirstColumn="0" w:firstRowLastColumn="0" w:lastRowFirstColumn="0" w:lastRowLastColumn="0"/>
              <w:rPr>
                <w:sz w:val="20"/>
                <w:szCs w:val="20"/>
              </w:rPr>
            </w:pPr>
            <w:r w:rsidRPr="00081EB9">
              <w:rPr>
                <w:sz w:val="20"/>
                <w:szCs w:val="20"/>
                <w:lang w:val="en-AU"/>
              </w:rPr>
              <w:t xml:space="preserve">Existing requirements for </w:t>
            </w:r>
            <w:r>
              <w:rPr>
                <w:sz w:val="20"/>
                <w:szCs w:val="20"/>
                <w:lang w:val="en-AU"/>
              </w:rPr>
              <w:t>the</w:t>
            </w:r>
            <w:r w:rsidRPr="00081EB9">
              <w:rPr>
                <w:sz w:val="20"/>
                <w:szCs w:val="20"/>
                <w:lang w:val="en-AU"/>
              </w:rPr>
              <w:t xml:space="preserve"> declaration</w:t>
            </w:r>
            <w:r>
              <w:rPr>
                <w:sz w:val="20"/>
                <w:szCs w:val="20"/>
                <w:lang w:val="en-AU"/>
              </w:rPr>
              <w:t xml:space="preserve"> of soy</w:t>
            </w:r>
            <w:r w:rsidRPr="00081EB9">
              <w:rPr>
                <w:sz w:val="20"/>
                <w:szCs w:val="20"/>
                <w:lang w:val="en-AU"/>
              </w:rPr>
              <w:t xml:space="preserve"> </w:t>
            </w:r>
            <w:r>
              <w:rPr>
                <w:sz w:val="20"/>
                <w:szCs w:val="20"/>
                <w:lang w:val="en-AU"/>
              </w:rPr>
              <w:t xml:space="preserve">would </w:t>
            </w:r>
            <w:r w:rsidRPr="00081EB9">
              <w:rPr>
                <w:sz w:val="20"/>
                <w:szCs w:val="20"/>
                <w:lang w:val="en-AU"/>
              </w:rPr>
              <w:t xml:space="preserve">apply to </w:t>
            </w:r>
            <w:r>
              <w:rPr>
                <w:sz w:val="20"/>
                <w:szCs w:val="20"/>
                <w:lang w:val="en-AU"/>
              </w:rPr>
              <w:t xml:space="preserve">packaged and unpackaged meat analogue products. The addition of soy leghemoglobin as an ingredient would trigger a soy declaration </w:t>
            </w:r>
            <w:r w:rsidRPr="00081EB9">
              <w:rPr>
                <w:sz w:val="20"/>
                <w:szCs w:val="20"/>
                <w:lang w:val="en-AU"/>
              </w:rPr>
              <w:t xml:space="preserve">(refer to </w:t>
            </w:r>
            <w:r>
              <w:rPr>
                <w:sz w:val="20"/>
                <w:szCs w:val="20"/>
                <w:lang w:val="en-AU"/>
              </w:rPr>
              <w:t>Se</w:t>
            </w:r>
            <w:r w:rsidRPr="00584B90">
              <w:rPr>
                <w:sz w:val="20"/>
                <w:szCs w:val="20"/>
                <w:lang w:val="en-AU"/>
              </w:rPr>
              <w:t xml:space="preserve">ction </w:t>
            </w:r>
            <w:r>
              <w:rPr>
                <w:sz w:val="20"/>
                <w:szCs w:val="20"/>
                <w:lang w:val="en-AU"/>
              </w:rPr>
              <w:t>3.2.</w:t>
            </w:r>
            <w:r w:rsidR="004E764B">
              <w:rPr>
                <w:sz w:val="20"/>
                <w:szCs w:val="20"/>
                <w:lang w:val="en-AU"/>
              </w:rPr>
              <w:t>2</w:t>
            </w:r>
            <w:r w:rsidRPr="00081EB9">
              <w:rPr>
                <w:sz w:val="20"/>
                <w:szCs w:val="20"/>
                <w:lang w:val="en-AU"/>
              </w:rPr>
              <w:t xml:space="preserve"> </w:t>
            </w:r>
            <w:r w:rsidRPr="00765CE1">
              <w:rPr>
                <w:i/>
                <w:sz w:val="20"/>
                <w:szCs w:val="20"/>
                <w:lang w:val="en-AU"/>
              </w:rPr>
              <w:t>Mandatory declaration of certain foods or substances in foods</w:t>
            </w:r>
            <w:r w:rsidRPr="00081EB9">
              <w:rPr>
                <w:sz w:val="20"/>
                <w:szCs w:val="20"/>
                <w:lang w:val="en-AU"/>
              </w:rPr>
              <w:t xml:space="preserve">). </w:t>
            </w:r>
          </w:p>
        </w:tc>
      </w:tr>
      <w:tr w:rsidR="00E92956" w:rsidRPr="00BA2E47" w14:paraId="0E08583A" w14:textId="77777777" w:rsidTr="008334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 w:type="pct"/>
            <w:vAlign w:val="center"/>
          </w:tcPr>
          <w:p w14:paraId="3E7945A0" w14:textId="1187C1E9" w:rsidR="00E92956" w:rsidRDefault="00E92956" w:rsidP="00E92956">
            <w:pPr>
              <w:pStyle w:val="ListParagraph"/>
              <w:numPr>
                <w:ilvl w:val="0"/>
                <w:numId w:val="24"/>
              </w:numPr>
              <w:ind w:left="8" w:right="-71" w:firstLine="2"/>
              <w:jc w:val="right"/>
              <w:rPr>
                <w:rFonts w:cs="Arial"/>
                <w:sz w:val="20"/>
                <w:szCs w:val="20"/>
              </w:rPr>
            </w:pPr>
          </w:p>
        </w:tc>
        <w:tc>
          <w:tcPr>
            <w:tcW w:w="1558" w:type="pct"/>
          </w:tcPr>
          <w:p w14:paraId="4D70DD78" w14:textId="0CE5B2E4" w:rsidR="00E92956" w:rsidRPr="00081EB9" w:rsidRDefault="00E92956" w:rsidP="00E92956">
            <w:pPr>
              <w:cnfStyle w:val="000000100000" w:firstRow="0" w:lastRow="0" w:firstColumn="0" w:lastColumn="0" w:oddVBand="0" w:evenVBand="0" w:oddHBand="1" w:evenHBand="0" w:firstRowFirstColumn="0" w:firstRowLastColumn="0" w:lastRowFirstColumn="0" w:lastRowLastColumn="0"/>
              <w:rPr>
                <w:sz w:val="20"/>
                <w:szCs w:val="20"/>
              </w:rPr>
            </w:pPr>
            <w:r w:rsidRPr="00081EB9">
              <w:rPr>
                <w:sz w:val="20"/>
                <w:szCs w:val="20"/>
              </w:rPr>
              <w:t xml:space="preserve">The </w:t>
            </w:r>
            <w:r w:rsidR="00202711">
              <w:rPr>
                <w:sz w:val="20"/>
                <w:szCs w:val="20"/>
              </w:rPr>
              <w:t>1</w:t>
            </w:r>
            <w:r w:rsidR="00202711" w:rsidRPr="00202711">
              <w:rPr>
                <w:sz w:val="20"/>
                <w:szCs w:val="20"/>
                <w:vertAlign w:val="superscript"/>
              </w:rPr>
              <w:t>st</w:t>
            </w:r>
            <w:r w:rsidR="00202711">
              <w:rPr>
                <w:sz w:val="20"/>
                <w:szCs w:val="20"/>
              </w:rPr>
              <w:t xml:space="preserve"> </w:t>
            </w:r>
            <w:r w:rsidRPr="00081EB9">
              <w:rPr>
                <w:sz w:val="20"/>
                <w:szCs w:val="20"/>
              </w:rPr>
              <w:t xml:space="preserve">CFS notes a voluntary representation to make ‘good source’ claims </w:t>
            </w:r>
            <w:r>
              <w:rPr>
                <w:sz w:val="20"/>
                <w:szCs w:val="20"/>
              </w:rPr>
              <w:t xml:space="preserve">for </w:t>
            </w:r>
            <w:r w:rsidRPr="00081EB9">
              <w:rPr>
                <w:sz w:val="20"/>
                <w:szCs w:val="20"/>
              </w:rPr>
              <w:t>iron, however the supporting evidence does not demonstrate the bioavailability of iron from this food source.</w:t>
            </w:r>
          </w:p>
        </w:tc>
        <w:tc>
          <w:tcPr>
            <w:tcW w:w="779" w:type="pct"/>
          </w:tcPr>
          <w:p w14:paraId="7DED3655" w14:textId="6445559D" w:rsidR="00E92956" w:rsidRPr="00081EB9" w:rsidRDefault="00E92956" w:rsidP="00E92956">
            <w:pPr>
              <w:cnfStyle w:val="000000100000" w:firstRow="0" w:lastRow="0" w:firstColumn="0" w:lastColumn="0" w:oddVBand="0" w:evenVBand="0" w:oddHBand="1" w:evenHBand="0" w:firstRowFirstColumn="0" w:firstRowLastColumn="0" w:lastRowFirstColumn="0" w:lastRowLastColumn="0"/>
              <w:rPr>
                <w:sz w:val="20"/>
                <w:szCs w:val="20"/>
              </w:rPr>
            </w:pPr>
            <w:r w:rsidRPr="00081EB9">
              <w:rPr>
                <w:rFonts w:cs="Arial"/>
                <w:sz w:val="20"/>
                <w:szCs w:val="20"/>
              </w:rPr>
              <w:t>Government (1)</w:t>
            </w:r>
          </w:p>
        </w:tc>
        <w:tc>
          <w:tcPr>
            <w:tcW w:w="2519" w:type="pct"/>
          </w:tcPr>
          <w:p w14:paraId="104A50BF" w14:textId="7A87525E" w:rsidR="00E92956" w:rsidRDefault="00E92956" w:rsidP="00DA334B">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081EB9">
              <w:rPr>
                <w:sz w:val="20"/>
                <w:szCs w:val="20"/>
              </w:rPr>
              <w:t xml:space="preserve">Nutrition content claims refer to the presence or absence of nutrients and can also refer to amounts present. Bioavailability is not a consideration for nutrition content claims as it is influenced by many factors. Bioavailability of haem iron from soy leghemoglobin is discussed </w:t>
            </w:r>
            <w:r w:rsidR="00472270">
              <w:rPr>
                <w:sz w:val="20"/>
                <w:szCs w:val="20"/>
              </w:rPr>
              <w:t xml:space="preserve">in </w:t>
            </w:r>
            <w:r w:rsidR="00472270" w:rsidRPr="00E03188">
              <w:rPr>
                <w:sz w:val="20"/>
                <w:szCs w:val="20"/>
              </w:rPr>
              <w:t xml:space="preserve">Table </w:t>
            </w:r>
            <w:r w:rsidR="00EF4620" w:rsidRPr="00E03188">
              <w:rPr>
                <w:sz w:val="20"/>
                <w:szCs w:val="20"/>
              </w:rPr>
              <w:t>1</w:t>
            </w:r>
            <w:r w:rsidRPr="00081EB9">
              <w:rPr>
                <w:sz w:val="20"/>
                <w:szCs w:val="20"/>
              </w:rPr>
              <w:t xml:space="preserve"> </w:t>
            </w:r>
            <w:r w:rsidR="00EF4620" w:rsidRPr="00740221">
              <w:rPr>
                <w:sz w:val="20"/>
                <w:szCs w:val="20"/>
              </w:rPr>
              <w:t>(</w:t>
            </w:r>
            <w:r w:rsidRPr="00E03188">
              <w:rPr>
                <w:sz w:val="20"/>
                <w:szCs w:val="20"/>
              </w:rPr>
              <w:t>issue</w:t>
            </w:r>
            <w:r w:rsidR="00EF4620" w:rsidRPr="00E03188">
              <w:rPr>
                <w:sz w:val="20"/>
                <w:szCs w:val="20"/>
              </w:rPr>
              <w:t>s</w:t>
            </w:r>
            <w:r w:rsidRPr="00E03188">
              <w:rPr>
                <w:sz w:val="20"/>
                <w:szCs w:val="20"/>
              </w:rPr>
              <w:t xml:space="preserve"> </w:t>
            </w:r>
            <w:r w:rsidR="00AE6617" w:rsidRPr="00E03188">
              <w:rPr>
                <w:sz w:val="20"/>
                <w:szCs w:val="20"/>
              </w:rPr>
              <w:t>2</w:t>
            </w:r>
            <w:r w:rsidR="00AE6617">
              <w:rPr>
                <w:sz w:val="20"/>
                <w:szCs w:val="20"/>
              </w:rPr>
              <w:t>4</w:t>
            </w:r>
            <w:r w:rsidR="00AE6617" w:rsidRPr="00740221">
              <w:rPr>
                <w:sz w:val="20"/>
                <w:szCs w:val="20"/>
              </w:rPr>
              <w:t xml:space="preserve"> </w:t>
            </w:r>
            <w:r w:rsidR="00EF4620" w:rsidRPr="00740221">
              <w:rPr>
                <w:sz w:val="20"/>
                <w:szCs w:val="20"/>
              </w:rPr>
              <w:t xml:space="preserve">and </w:t>
            </w:r>
            <w:r w:rsidR="00AE6617" w:rsidRPr="00740221">
              <w:rPr>
                <w:sz w:val="20"/>
                <w:szCs w:val="20"/>
              </w:rPr>
              <w:t>2</w:t>
            </w:r>
            <w:r w:rsidR="00AE6617">
              <w:rPr>
                <w:sz w:val="20"/>
                <w:szCs w:val="20"/>
              </w:rPr>
              <w:t>5</w:t>
            </w:r>
            <w:r w:rsidR="00EF4620" w:rsidRPr="00740221">
              <w:rPr>
                <w:sz w:val="20"/>
                <w:szCs w:val="20"/>
              </w:rPr>
              <w:t>)</w:t>
            </w:r>
            <w:r w:rsidRPr="00740221">
              <w:rPr>
                <w:sz w:val="20"/>
                <w:szCs w:val="20"/>
              </w:rPr>
              <w:t>.</w:t>
            </w:r>
            <w:r w:rsidRPr="00584B90">
              <w:rPr>
                <w:sz w:val="20"/>
                <w:szCs w:val="20"/>
              </w:rPr>
              <w:t xml:space="preserve"> </w:t>
            </w:r>
          </w:p>
        </w:tc>
      </w:tr>
      <w:tr w:rsidR="00E92956" w:rsidRPr="00BA2E47" w14:paraId="14F716BE" w14:textId="77777777" w:rsidTr="0083347A">
        <w:trPr>
          <w:cantSplit/>
        </w:trPr>
        <w:tc>
          <w:tcPr>
            <w:cnfStyle w:val="001000000000" w:firstRow="0" w:lastRow="0" w:firstColumn="1" w:lastColumn="0" w:oddVBand="0" w:evenVBand="0" w:oddHBand="0" w:evenHBand="0" w:firstRowFirstColumn="0" w:firstRowLastColumn="0" w:lastRowFirstColumn="0" w:lastRowLastColumn="0"/>
            <w:tcW w:w="145" w:type="pct"/>
            <w:vAlign w:val="center"/>
          </w:tcPr>
          <w:p w14:paraId="010E6DE2" w14:textId="0E201845" w:rsidR="00E92956" w:rsidRDefault="00E92956" w:rsidP="00E92956">
            <w:pPr>
              <w:pStyle w:val="ListParagraph"/>
              <w:numPr>
                <w:ilvl w:val="0"/>
                <w:numId w:val="24"/>
              </w:numPr>
              <w:ind w:left="8" w:right="-71" w:firstLine="2"/>
              <w:jc w:val="right"/>
              <w:rPr>
                <w:rFonts w:cs="Arial"/>
                <w:sz w:val="20"/>
                <w:szCs w:val="20"/>
              </w:rPr>
            </w:pPr>
          </w:p>
        </w:tc>
        <w:tc>
          <w:tcPr>
            <w:tcW w:w="1558" w:type="pct"/>
          </w:tcPr>
          <w:p w14:paraId="219A227D" w14:textId="5B0D5A78" w:rsidR="00E92956" w:rsidRPr="00081EB9" w:rsidRDefault="00E92956" w:rsidP="005122AC">
            <w:pPr>
              <w:cnfStyle w:val="000000000000" w:firstRow="0" w:lastRow="0" w:firstColumn="0" w:lastColumn="0" w:oddVBand="0" w:evenVBand="0" w:oddHBand="0" w:evenHBand="0" w:firstRowFirstColumn="0" w:firstRowLastColumn="0" w:lastRowFirstColumn="0" w:lastRowLastColumn="0"/>
              <w:rPr>
                <w:sz w:val="20"/>
                <w:szCs w:val="20"/>
              </w:rPr>
            </w:pPr>
            <w:r w:rsidRPr="00081EB9">
              <w:rPr>
                <w:sz w:val="20"/>
                <w:szCs w:val="20"/>
              </w:rPr>
              <w:t xml:space="preserve">Clarity is </w:t>
            </w:r>
            <w:r w:rsidR="005122AC">
              <w:rPr>
                <w:sz w:val="20"/>
                <w:szCs w:val="20"/>
              </w:rPr>
              <w:t>sought o</w:t>
            </w:r>
            <w:r w:rsidRPr="00081EB9">
              <w:rPr>
                <w:sz w:val="20"/>
                <w:szCs w:val="20"/>
              </w:rPr>
              <w:t>n what health claim restrictions will apply to this food</w:t>
            </w:r>
            <w:r w:rsidR="00ED51F0">
              <w:rPr>
                <w:sz w:val="20"/>
                <w:szCs w:val="20"/>
              </w:rPr>
              <w:t xml:space="preserve">, and if the </w:t>
            </w:r>
            <w:r w:rsidR="00ED51F0" w:rsidRPr="00081EB9">
              <w:rPr>
                <w:sz w:val="20"/>
                <w:szCs w:val="20"/>
              </w:rPr>
              <w:t xml:space="preserve">proposed iron content </w:t>
            </w:r>
            <w:r w:rsidR="00ED51F0">
              <w:rPr>
                <w:sz w:val="20"/>
                <w:szCs w:val="20"/>
              </w:rPr>
              <w:t>of the applicant’s meat analogue products would p</w:t>
            </w:r>
            <w:r w:rsidR="00ED51F0" w:rsidRPr="00081EB9">
              <w:rPr>
                <w:sz w:val="20"/>
                <w:szCs w:val="20"/>
              </w:rPr>
              <w:t>ermit</w:t>
            </w:r>
            <w:r w:rsidR="00ED51F0">
              <w:rPr>
                <w:sz w:val="20"/>
                <w:szCs w:val="20"/>
              </w:rPr>
              <w:t xml:space="preserve"> a 'general level health claim'.</w:t>
            </w:r>
          </w:p>
        </w:tc>
        <w:tc>
          <w:tcPr>
            <w:tcW w:w="779" w:type="pct"/>
          </w:tcPr>
          <w:p w14:paraId="3129CF68" w14:textId="4BA1645D" w:rsidR="00E92956" w:rsidRPr="00081EB9" w:rsidRDefault="00E92956" w:rsidP="00E92956">
            <w:pPr>
              <w:cnfStyle w:val="000000000000" w:firstRow="0" w:lastRow="0" w:firstColumn="0" w:lastColumn="0" w:oddVBand="0" w:evenVBand="0" w:oddHBand="0" w:evenHBand="0" w:firstRowFirstColumn="0" w:firstRowLastColumn="0" w:lastRowFirstColumn="0" w:lastRowLastColumn="0"/>
              <w:rPr>
                <w:sz w:val="20"/>
                <w:szCs w:val="20"/>
              </w:rPr>
            </w:pPr>
            <w:r w:rsidRPr="00081EB9">
              <w:rPr>
                <w:rFonts w:cs="Arial"/>
                <w:sz w:val="20"/>
                <w:szCs w:val="20"/>
              </w:rPr>
              <w:t>Government (1)</w:t>
            </w:r>
            <w:r w:rsidR="00ED51F0">
              <w:rPr>
                <w:rFonts w:cs="Arial"/>
                <w:sz w:val="20"/>
                <w:szCs w:val="20"/>
              </w:rPr>
              <w:t>;</w:t>
            </w:r>
            <w:r w:rsidR="00ED51F0">
              <w:rPr>
                <w:sz w:val="20"/>
                <w:szCs w:val="20"/>
              </w:rPr>
              <w:t xml:space="preserve"> Primary production organisation (1)</w:t>
            </w:r>
          </w:p>
        </w:tc>
        <w:tc>
          <w:tcPr>
            <w:tcW w:w="2519" w:type="pct"/>
          </w:tcPr>
          <w:p w14:paraId="48526433" w14:textId="38DA27AE" w:rsidR="00A301D0" w:rsidRDefault="00ED51F0" w:rsidP="00C53AD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Existing requirements for nutrition content and health claims </w:t>
            </w:r>
            <w:r w:rsidR="00E92956" w:rsidRPr="00081EB9">
              <w:rPr>
                <w:sz w:val="20"/>
                <w:szCs w:val="20"/>
              </w:rPr>
              <w:t>w</w:t>
            </w:r>
            <w:r>
              <w:rPr>
                <w:sz w:val="20"/>
                <w:szCs w:val="20"/>
              </w:rPr>
              <w:t xml:space="preserve">ould </w:t>
            </w:r>
            <w:r w:rsidR="00E92956" w:rsidRPr="00081EB9">
              <w:rPr>
                <w:sz w:val="20"/>
                <w:szCs w:val="20"/>
              </w:rPr>
              <w:t xml:space="preserve">apply to </w:t>
            </w:r>
            <w:r>
              <w:rPr>
                <w:sz w:val="20"/>
                <w:szCs w:val="20"/>
              </w:rPr>
              <w:t>meat analogue products containing soy leghemoglobin</w:t>
            </w:r>
            <w:r w:rsidR="00C53AD5">
              <w:rPr>
                <w:sz w:val="20"/>
                <w:szCs w:val="20"/>
              </w:rPr>
              <w:t>.</w:t>
            </w:r>
            <w:r w:rsidR="00E92956" w:rsidRPr="00081EB9">
              <w:rPr>
                <w:sz w:val="20"/>
                <w:szCs w:val="20"/>
              </w:rPr>
              <w:t xml:space="preserve"> </w:t>
            </w:r>
            <w:r w:rsidR="00472270">
              <w:rPr>
                <w:sz w:val="20"/>
                <w:szCs w:val="20"/>
              </w:rPr>
              <w:t xml:space="preserve">Section S4—5 </w:t>
            </w:r>
            <w:r w:rsidR="00C53AD5">
              <w:rPr>
                <w:sz w:val="20"/>
                <w:szCs w:val="20"/>
              </w:rPr>
              <w:t xml:space="preserve">of the Code </w:t>
            </w:r>
            <w:r w:rsidRPr="00081EB9">
              <w:rPr>
                <w:sz w:val="20"/>
                <w:szCs w:val="20"/>
              </w:rPr>
              <w:t xml:space="preserve">includes </w:t>
            </w:r>
            <w:r w:rsidR="00C53AD5">
              <w:rPr>
                <w:sz w:val="20"/>
                <w:szCs w:val="20"/>
              </w:rPr>
              <w:t xml:space="preserve">certain </w:t>
            </w:r>
            <w:r w:rsidRPr="00081EB9">
              <w:rPr>
                <w:sz w:val="20"/>
                <w:szCs w:val="20"/>
              </w:rPr>
              <w:t xml:space="preserve">pre-approved </w:t>
            </w:r>
            <w:r w:rsidR="00703DBA">
              <w:rPr>
                <w:sz w:val="20"/>
                <w:szCs w:val="20"/>
              </w:rPr>
              <w:t xml:space="preserve">general level health claims about </w:t>
            </w:r>
            <w:r w:rsidRPr="00081EB9">
              <w:rPr>
                <w:sz w:val="20"/>
                <w:szCs w:val="20"/>
              </w:rPr>
              <w:t>iron</w:t>
            </w:r>
            <w:r w:rsidR="00C53AD5">
              <w:rPr>
                <w:sz w:val="20"/>
                <w:szCs w:val="20"/>
              </w:rPr>
              <w:t xml:space="preserve"> that may be used if conditions are met, including a minimum content of iron. </w:t>
            </w:r>
          </w:p>
          <w:p w14:paraId="14C051F8" w14:textId="77777777" w:rsidR="00A301D0" w:rsidRDefault="00A301D0" w:rsidP="00C53AD5">
            <w:pPr>
              <w:cnfStyle w:val="000000000000" w:firstRow="0" w:lastRow="0" w:firstColumn="0" w:lastColumn="0" w:oddVBand="0" w:evenVBand="0" w:oddHBand="0" w:evenHBand="0" w:firstRowFirstColumn="0" w:firstRowLastColumn="0" w:lastRowFirstColumn="0" w:lastRowLastColumn="0"/>
              <w:rPr>
                <w:sz w:val="20"/>
                <w:szCs w:val="20"/>
              </w:rPr>
            </w:pPr>
          </w:p>
          <w:p w14:paraId="2C069E63" w14:textId="62FDB629" w:rsidR="00E92956" w:rsidRDefault="00C53AD5" w:rsidP="0083347A">
            <w:pPr>
              <w:spacing w:after="24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Standard 1.2.7 requires</w:t>
            </w:r>
            <w:r w:rsidRPr="00C53AD5">
              <w:rPr>
                <w:sz w:val="20"/>
                <w:szCs w:val="20"/>
              </w:rPr>
              <w:t xml:space="preserve"> </w:t>
            </w:r>
            <w:r w:rsidR="00ED51F0" w:rsidRPr="00C53AD5">
              <w:rPr>
                <w:sz w:val="20"/>
                <w:szCs w:val="20"/>
              </w:rPr>
              <w:t>a systematic review to substantiate a</w:t>
            </w:r>
            <w:r w:rsidR="00BB20A4">
              <w:rPr>
                <w:sz w:val="20"/>
                <w:szCs w:val="20"/>
              </w:rPr>
              <w:t>ny</w:t>
            </w:r>
            <w:r w:rsidR="00ED51F0" w:rsidRPr="00C53AD5">
              <w:rPr>
                <w:sz w:val="20"/>
                <w:szCs w:val="20"/>
              </w:rPr>
              <w:t xml:space="preserve"> food-health relationship</w:t>
            </w:r>
            <w:r w:rsidRPr="00C53AD5">
              <w:rPr>
                <w:sz w:val="20"/>
                <w:szCs w:val="20"/>
              </w:rPr>
              <w:t xml:space="preserve"> not listed in </w:t>
            </w:r>
            <w:r w:rsidR="0067305B" w:rsidRPr="00C53AD5">
              <w:rPr>
                <w:sz w:val="20"/>
                <w:szCs w:val="20"/>
              </w:rPr>
              <w:t xml:space="preserve">section </w:t>
            </w:r>
            <w:r w:rsidRPr="00C53AD5">
              <w:rPr>
                <w:sz w:val="20"/>
                <w:szCs w:val="20"/>
              </w:rPr>
              <w:t>S4—5</w:t>
            </w:r>
            <w:r>
              <w:rPr>
                <w:sz w:val="20"/>
                <w:szCs w:val="20"/>
              </w:rPr>
              <w:t xml:space="preserve"> (</w:t>
            </w:r>
            <w:r w:rsidRPr="00081EB9">
              <w:rPr>
                <w:sz w:val="20"/>
                <w:szCs w:val="20"/>
              </w:rPr>
              <w:t xml:space="preserve">refer to </w:t>
            </w:r>
            <w:r w:rsidRPr="00584B90">
              <w:rPr>
                <w:sz w:val="20"/>
                <w:szCs w:val="20"/>
              </w:rPr>
              <w:t xml:space="preserve">Section </w:t>
            </w:r>
            <w:r>
              <w:rPr>
                <w:sz w:val="20"/>
                <w:szCs w:val="20"/>
              </w:rPr>
              <w:t xml:space="preserve">3.2.5 </w:t>
            </w:r>
            <w:r w:rsidRPr="00202711">
              <w:rPr>
                <w:i/>
                <w:sz w:val="20"/>
                <w:szCs w:val="20"/>
              </w:rPr>
              <w:t>Nutrition content and health claims</w:t>
            </w:r>
            <w:r>
              <w:rPr>
                <w:sz w:val="20"/>
                <w:szCs w:val="20"/>
              </w:rPr>
              <w:t>).</w:t>
            </w:r>
            <w:r w:rsidR="00ED51F0" w:rsidRPr="00C53AD5">
              <w:rPr>
                <w:sz w:val="20"/>
                <w:szCs w:val="20"/>
              </w:rPr>
              <w:t xml:space="preserve"> </w:t>
            </w:r>
            <w:r w:rsidR="00ED51F0" w:rsidRPr="00081EB9">
              <w:rPr>
                <w:sz w:val="20"/>
                <w:szCs w:val="20"/>
              </w:rPr>
              <w:t>The onus is on the supplier to ensure the conditions for such claims are met</w:t>
            </w:r>
            <w:r w:rsidR="00A301D0">
              <w:rPr>
                <w:sz w:val="20"/>
                <w:szCs w:val="20"/>
              </w:rPr>
              <w:t>.</w:t>
            </w:r>
            <w:r>
              <w:rPr>
                <w:sz w:val="20"/>
                <w:szCs w:val="20"/>
              </w:rPr>
              <w:t xml:space="preserve"> </w:t>
            </w:r>
          </w:p>
        </w:tc>
      </w:tr>
      <w:tr w:rsidR="00E92956" w:rsidRPr="00BA2E47" w14:paraId="157F5D9D" w14:textId="77777777" w:rsidTr="00833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21945A57" w14:textId="57DD3E3C" w:rsidR="00E92956" w:rsidRDefault="00E92956" w:rsidP="00E92956">
            <w:pPr>
              <w:pStyle w:val="ListParagraph"/>
              <w:numPr>
                <w:ilvl w:val="0"/>
                <w:numId w:val="24"/>
              </w:numPr>
              <w:ind w:left="8" w:right="-71" w:firstLine="2"/>
              <w:jc w:val="right"/>
              <w:rPr>
                <w:rFonts w:cs="Arial"/>
                <w:sz w:val="20"/>
                <w:szCs w:val="20"/>
              </w:rPr>
            </w:pPr>
          </w:p>
        </w:tc>
        <w:tc>
          <w:tcPr>
            <w:tcW w:w="1558" w:type="pct"/>
          </w:tcPr>
          <w:p w14:paraId="535A747A" w14:textId="534A927A" w:rsidR="00E92956" w:rsidRPr="00081EB9" w:rsidRDefault="00E92956" w:rsidP="00E92956">
            <w:pPr>
              <w:cnfStyle w:val="000000100000" w:firstRow="0" w:lastRow="0" w:firstColumn="0" w:lastColumn="0" w:oddVBand="0" w:evenVBand="0" w:oddHBand="1" w:evenHBand="0" w:firstRowFirstColumn="0" w:firstRowLastColumn="0" w:lastRowFirstColumn="0" w:lastRowLastColumn="0"/>
              <w:rPr>
                <w:sz w:val="20"/>
                <w:szCs w:val="20"/>
              </w:rPr>
            </w:pPr>
            <w:r w:rsidRPr="00081EB9">
              <w:rPr>
                <w:sz w:val="20"/>
                <w:szCs w:val="20"/>
              </w:rPr>
              <w:t xml:space="preserve">Clarity is requested on how voluntary %RDI claims for vitamins and minerals in S17—4 would be applied for the applicant’s products containing soy leghemoglobin, including if ‘good source of iron’ claims apply. </w:t>
            </w:r>
          </w:p>
        </w:tc>
        <w:tc>
          <w:tcPr>
            <w:tcW w:w="779" w:type="pct"/>
          </w:tcPr>
          <w:p w14:paraId="503340FD" w14:textId="6EE242DC" w:rsidR="00E92956" w:rsidRDefault="00E92956" w:rsidP="00E92956">
            <w:pPr>
              <w:cnfStyle w:val="000000100000" w:firstRow="0" w:lastRow="0" w:firstColumn="0" w:lastColumn="0" w:oddVBand="0" w:evenVBand="0" w:oddHBand="1" w:evenHBand="0" w:firstRowFirstColumn="0" w:firstRowLastColumn="0" w:lastRowFirstColumn="0" w:lastRowLastColumn="0"/>
              <w:rPr>
                <w:sz w:val="20"/>
                <w:szCs w:val="20"/>
              </w:rPr>
            </w:pPr>
            <w:r w:rsidRPr="00081EB9">
              <w:rPr>
                <w:rFonts w:cs="Arial"/>
                <w:sz w:val="20"/>
                <w:szCs w:val="20"/>
              </w:rPr>
              <w:t>Government (1)</w:t>
            </w:r>
          </w:p>
        </w:tc>
        <w:tc>
          <w:tcPr>
            <w:tcW w:w="2519" w:type="pct"/>
          </w:tcPr>
          <w:p w14:paraId="6C38EDC8" w14:textId="15DA41F0" w:rsidR="00E92956" w:rsidRPr="00081EB9" w:rsidRDefault="00AC6256" w:rsidP="00E9295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 voluntary %RDI claim can be made for vitamins and minerals listed in </w:t>
            </w:r>
            <w:r w:rsidR="0067305B">
              <w:rPr>
                <w:sz w:val="20"/>
                <w:szCs w:val="20"/>
              </w:rPr>
              <w:t>s</w:t>
            </w:r>
            <w:r>
              <w:rPr>
                <w:sz w:val="20"/>
                <w:szCs w:val="20"/>
              </w:rPr>
              <w:t xml:space="preserve">ection S17—4, up to and including the </w:t>
            </w:r>
            <w:r w:rsidR="00E92956" w:rsidRPr="00081EB9">
              <w:rPr>
                <w:sz w:val="20"/>
                <w:szCs w:val="20"/>
              </w:rPr>
              <w:t>maximum claimable amount</w:t>
            </w:r>
            <w:r>
              <w:rPr>
                <w:sz w:val="20"/>
                <w:szCs w:val="20"/>
              </w:rPr>
              <w:t xml:space="preserve"> for that vitamin or mineral (when one is provided).</w:t>
            </w:r>
            <w:r w:rsidR="00E92956" w:rsidRPr="00081EB9">
              <w:rPr>
                <w:sz w:val="20"/>
                <w:szCs w:val="20"/>
              </w:rPr>
              <w:t xml:space="preserve"> However, the actual amount of the vitamin or mineral present in a serving of the food may exceed the </w:t>
            </w:r>
            <w:r w:rsidR="00E92956" w:rsidRPr="00081EB9">
              <w:rPr>
                <w:sz w:val="20"/>
                <w:szCs w:val="20"/>
                <w:u w:val="single"/>
              </w:rPr>
              <w:t xml:space="preserve">maximum claimable </w:t>
            </w:r>
            <w:r w:rsidR="00E92956" w:rsidRPr="00081EB9">
              <w:rPr>
                <w:sz w:val="20"/>
                <w:szCs w:val="20"/>
              </w:rPr>
              <w:t xml:space="preserve">amount for a %RDI declaration, subject to all conditions being met and where the </w:t>
            </w:r>
            <w:r w:rsidR="00E92956" w:rsidRPr="00081EB9">
              <w:rPr>
                <w:sz w:val="20"/>
                <w:szCs w:val="20"/>
                <w:u w:val="single"/>
              </w:rPr>
              <w:t>maximum permitted</w:t>
            </w:r>
            <w:r w:rsidR="00E92956" w:rsidRPr="00081EB9">
              <w:rPr>
                <w:sz w:val="20"/>
                <w:szCs w:val="20"/>
              </w:rPr>
              <w:t xml:space="preserve"> amount (if any) is not exceeded. </w:t>
            </w:r>
          </w:p>
          <w:p w14:paraId="5F070DBC" w14:textId="77777777" w:rsidR="00E92956" w:rsidRPr="00081EB9" w:rsidRDefault="00E92956" w:rsidP="00E92956">
            <w:pPr>
              <w:cnfStyle w:val="000000100000" w:firstRow="0" w:lastRow="0" w:firstColumn="0" w:lastColumn="0" w:oddVBand="0" w:evenVBand="0" w:oddHBand="1" w:evenHBand="0" w:firstRowFirstColumn="0" w:firstRowLastColumn="0" w:lastRowFirstColumn="0" w:lastRowLastColumn="0"/>
              <w:rPr>
                <w:sz w:val="20"/>
                <w:szCs w:val="20"/>
              </w:rPr>
            </w:pPr>
          </w:p>
          <w:p w14:paraId="59510D7D" w14:textId="017E1407" w:rsidR="00E92956" w:rsidRPr="00081EB9" w:rsidRDefault="00E92956" w:rsidP="0083347A">
            <w:pPr>
              <w:spacing w:after="240"/>
              <w:cnfStyle w:val="000000100000" w:firstRow="0" w:lastRow="0" w:firstColumn="0" w:lastColumn="0" w:oddVBand="0" w:evenVBand="0" w:oddHBand="1" w:evenHBand="0" w:firstRowFirstColumn="0" w:firstRowLastColumn="0" w:lastRowFirstColumn="0" w:lastRowLastColumn="0"/>
              <w:rPr>
                <w:sz w:val="20"/>
                <w:szCs w:val="20"/>
              </w:rPr>
            </w:pPr>
            <w:r w:rsidRPr="00081EB9">
              <w:rPr>
                <w:sz w:val="20"/>
                <w:szCs w:val="20"/>
              </w:rPr>
              <w:t xml:space="preserve">In relation to </w:t>
            </w:r>
            <w:r w:rsidRPr="008F22AE">
              <w:rPr>
                <w:sz w:val="20"/>
                <w:szCs w:val="20"/>
              </w:rPr>
              <w:t>meat analogues,</w:t>
            </w:r>
            <w:r w:rsidRPr="00081EB9">
              <w:rPr>
                <w:sz w:val="20"/>
                <w:szCs w:val="20"/>
              </w:rPr>
              <w:t xml:space="preserve"> there are no maximum permitted amounts per reference quantity for iron and zinc</w:t>
            </w:r>
            <w:r w:rsidR="00423E7C">
              <w:rPr>
                <w:sz w:val="20"/>
                <w:szCs w:val="20"/>
              </w:rPr>
              <w:t xml:space="preserve"> (refer to </w:t>
            </w:r>
            <w:r w:rsidR="00475844">
              <w:rPr>
                <w:sz w:val="20"/>
                <w:szCs w:val="20"/>
              </w:rPr>
              <w:t>S</w:t>
            </w:r>
            <w:r w:rsidR="00475844" w:rsidRPr="00A954EB">
              <w:rPr>
                <w:sz w:val="20"/>
                <w:szCs w:val="20"/>
              </w:rPr>
              <w:t xml:space="preserve">ection </w:t>
            </w:r>
            <w:r w:rsidR="00423E7C" w:rsidRPr="00ED51F0">
              <w:rPr>
                <w:sz w:val="20"/>
                <w:szCs w:val="20"/>
              </w:rPr>
              <w:t>3.2.5.</w:t>
            </w:r>
            <w:r w:rsidR="00423E7C">
              <w:rPr>
                <w:sz w:val="20"/>
                <w:szCs w:val="20"/>
              </w:rPr>
              <w:t xml:space="preserve">1 </w:t>
            </w:r>
            <w:r w:rsidR="00423E7C" w:rsidRPr="00ED51F0">
              <w:rPr>
                <w:i/>
                <w:sz w:val="20"/>
                <w:szCs w:val="20"/>
              </w:rPr>
              <w:t>Restrictions on nutrition content claims in relation to vitamins and minerals added to foods</w:t>
            </w:r>
            <w:r w:rsidR="00423E7C">
              <w:rPr>
                <w:sz w:val="20"/>
                <w:szCs w:val="20"/>
              </w:rPr>
              <w:t xml:space="preserve"> for requirements for</w:t>
            </w:r>
            <w:r w:rsidRPr="00081EB9">
              <w:rPr>
                <w:sz w:val="20"/>
                <w:szCs w:val="20"/>
              </w:rPr>
              <w:t xml:space="preserve"> %RDI claims</w:t>
            </w:r>
            <w:r w:rsidR="00423E7C">
              <w:rPr>
                <w:sz w:val="20"/>
                <w:szCs w:val="20"/>
              </w:rPr>
              <w:t>).</w:t>
            </w:r>
          </w:p>
        </w:tc>
      </w:tr>
      <w:tr w:rsidR="005122AC" w:rsidRPr="00BA2E47" w14:paraId="1F39A11C" w14:textId="77777777" w:rsidTr="0083347A">
        <w:tc>
          <w:tcPr>
            <w:cnfStyle w:val="001000000000" w:firstRow="0" w:lastRow="0" w:firstColumn="1" w:lastColumn="0" w:oddVBand="0" w:evenVBand="0" w:oddHBand="0" w:evenHBand="0" w:firstRowFirstColumn="0" w:firstRowLastColumn="0" w:lastRowFirstColumn="0" w:lastRowLastColumn="0"/>
            <w:tcW w:w="145" w:type="pct"/>
            <w:vAlign w:val="center"/>
          </w:tcPr>
          <w:p w14:paraId="4F3D27F7" w14:textId="0B9B44FD" w:rsidR="005122AC" w:rsidRDefault="005122AC" w:rsidP="005122AC">
            <w:pPr>
              <w:pStyle w:val="ListParagraph"/>
              <w:numPr>
                <w:ilvl w:val="0"/>
                <w:numId w:val="24"/>
              </w:numPr>
              <w:ind w:left="8" w:right="-71" w:firstLine="2"/>
              <w:jc w:val="right"/>
              <w:rPr>
                <w:rFonts w:cs="Arial"/>
                <w:sz w:val="20"/>
                <w:szCs w:val="20"/>
              </w:rPr>
            </w:pPr>
          </w:p>
        </w:tc>
        <w:tc>
          <w:tcPr>
            <w:tcW w:w="1558" w:type="pct"/>
          </w:tcPr>
          <w:p w14:paraId="783300C6" w14:textId="754CBBB1" w:rsidR="005122AC" w:rsidRDefault="005122AC" w:rsidP="005122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Sought clarification that the ‘genetically modified’ statement will apply to commercial meat analogue </w:t>
            </w:r>
            <w:r w:rsidRPr="00081EB9">
              <w:rPr>
                <w:sz w:val="20"/>
                <w:szCs w:val="20"/>
              </w:rPr>
              <w:t xml:space="preserve">products containing GM </w:t>
            </w:r>
            <w:r>
              <w:rPr>
                <w:sz w:val="20"/>
                <w:szCs w:val="20"/>
              </w:rPr>
              <w:t>soy leghemoglobin.</w:t>
            </w:r>
          </w:p>
        </w:tc>
        <w:tc>
          <w:tcPr>
            <w:tcW w:w="779" w:type="pct"/>
          </w:tcPr>
          <w:p w14:paraId="57B1A829" w14:textId="41E5EFF4" w:rsidR="005122AC" w:rsidRPr="00081EB9" w:rsidRDefault="005122AC" w:rsidP="005122AC">
            <w:pPr>
              <w:cnfStyle w:val="000000000000" w:firstRow="0" w:lastRow="0" w:firstColumn="0" w:lastColumn="0" w:oddVBand="0" w:evenVBand="0" w:oddHBand="0" w:evenHBand="0" w:firstRowFirstColumn="0" w:firstRowLastColumn="0" w:lastRowFirstColumn="0" w:lastRowLastColumn="0"/>
              <w:rPr>
                <w:sz w:val="20"/>
                <w:szCs w:val="20"/>
              </w:rPr>
            </w:pPr>
            <w:r w:rsidRPr="00081EB9">
              <w:rPr>
                <w:sz w:val="20"/>
                <w:szCs w:val="20"/>
              </w:rPr>
              <w:t>Primary production organisation (</w:t>
            </w:r>
            <w:r>
              <w:rPr>
                <w:sz w:val="20"/>
                <w:szCs w:val="20"/>
              </w:rPr>
              <w:t>1</w:t>
            </w:r>
            <w:r w:rsidRPr="00081EB9">
              <w:rPr>
                <w:sz w:val="20"/>
                <w:szCs w:val="20"/>
              </w:rPr>
              <w:t>); Consumer organisation (</w:t>
            </w:r>
            <w:r>
              <w:rPr>
                <w:sz w:val="20"/>
                <w:szCs w:val="20"/>
              </w:rPr>
              <w:t>1</w:t>
            </w:r>
            <w:r w:rsidRPr="00081EB9">
              <w:rPr>
                <w:sz w:val="20"/>
                <w:szCs w:val="20"/>
              </w:rPr>
              <w:t>)</w:t>
            </w:r>
          </w:p>
        </w:tc>
        <w:tc>
          <w:tcPr>
            <w:tcW w:w="2519" w:type="pct"/>
          </w:tcPr>
          <w:p w14:paraId="7B741F17" w14:textId="456B97EC" w:rsidR="005122AC" w:rsidRPr="00081EB9" w:rsidRDefault="005122AC" w:rsidP="005122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w:t>
            </w:r>
            <w:r w:rsidRPr="00081EB9">
              <w:rPr>
                <w:sz w:val="20"/>
                <w:szCs w:val="20"/>
              </w:rPr>
              <w:t>xisting Code requirements fo</w:t>
            </w:r>
            <w:r>
              <w:rPr>
                <w:sz w:val="20"/>
                <w:szCs w:val="20"/>
              </w:rPr>
              <w:t xml:space="preserve">r genetically modified food </w:t>
            </w:r>
            <w:r w:rsidRPr="00081EB9">
              <w:rPr>
                <w:sz w:val="20"/>
                <w:szCs w:val="20"/>
              </w:rPr>
              <w:t>would apply.</w:t>
            </w:r>
            <w:r w:rsidR="00A301D0">
              <w:rPr>
                <w:sz w:val="20"/>
                <w:szCs w:val="20"/>
              </w:rPr>
              <w:t xml:space="preserve"> </w:t>
            </w:r>
            <w:r w:rsidRPr="00081EB9">
              <w:rPr>
                <w:sz w:val="20"/>
                <w:szCs w:val="20"/>
              </w:rPr>
              <w:t xml:space="preserve">The ‘genetically modified’ statement would be required if soy leghemoglobin is an ingredient in a packaged </w:t>
            </w:r>
            <w:r>
              <w:rPr>
                <w:sz w:val="20"/>
                <w:szCs w:val="20"/>
              </w:rPr>
              <w:t xml:space="preserve">meat analogue product </w:t>
            </w:r>
            <w:r w:rsidRPr="00081EB9">
              <w:rPr>
                <w:sz w:val="20"/>
                <w:szCs w:val="20"/>
              </w:rPr>
              <w:t xml:space="preserve">for sale (refer to </w:t>
            </w:r>
            <w:r w:rsidR="00475844" w:rsidRPr="00081EB9">
              <w:rPr>
                <w:sz w:val="20"/>
                <w:szCs w:val="20"/>
              </w:rPr>
              <w:t xml:space="preserve">Section </w:t>
            </w:r>
            <w:r>
              <w:rPr>
                <w:sz w:val="20"/>
                <w:szCs w:val="20"/>
              </w:rPr>
              <w:t>3.2.3</w:t>
            </w:r>
            <w:r w:rsidRPr="00081EB9">
              <w:rPr>
                <w:sz w:val="20"/>
                <w:szCs w:val="20"/>
              </w:rPr>
              <w:t xml:space="preserve"> </w:t>
            </w:r>
            <w:r w:rsidRPr="006263C4">
              <w:rPr>
                <w:i/>
                <w:sz w:val="20"/>
                <w:szCs w:val="20"/>
              </w:rPr>
              <w:t>Labelling as ‘genetically modified’</w:t>
            </w:r>
            <w:r w:rsidRPr="00081EB9">
              <w:rPr>
                <w:sz w:val="20"/>
                <w:szCs w:val="20"/>
              </w:rPr>
              <w:t xml:space="preserve">). </w:t>
            </w:r>
          </w:p>
          <w:p w14:paraId="558D0D07" w14:textId="6EB75DED" w:rsidR="005122AC" w:rsidRPr="00081EB9" w:rsidRDefault="005122AC" w:rsidP="005122AC">
            <w:pPr>
              <w:cnfStyle w:val="000000000000" w:firstRow="0" w:lastRow="0" w:firstColumn="0" w:lastColumn="0" w:oddVBand="0" w:evenVBand="0" w:oddHBand="0" w:evenHBand="0" w:firstRowFirstColumn="0" w:firstRowLastColumn="0" w:lastRowFirstColumn="0" w:lastRowLastColumn="0"/>
              <w:rPr>
                <w:sz w:val="20"/>
                <w:szCs w:val="20"/>
              </w:rPr>
            </w:pPr>
            <w:r w:rsidRPr="006B0A3B">
              <w:rPr>
                <w:strike/>
                <w:sz w:val="20"/>
                <w:szCs w:val="20"/>
              </w:rPr>
              <w:t xml:space="preserve"> </w:t>
            </w:r>
          </w:p>
        </w:tc>
      </w:tr>
      <w:tr w:rsidR="00ED51F0" w:rsidRPr="00BA2E47" w14:paraId="49E72519" w14:textId="77777777" w:rsidTr="008334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 w:type="pct"/>
            <w:vAlign w:val="center"/>
          </w:tcPr>
          <w:p w14:paraId="698ED2C2" w14:textId="77777777" w:rsidR="006B0A3B" w:rsidRPr="00E175AB" w:rsidRDefault="006B0A3B" w:rsidP="006B0A3B">
            <w:pPr>
              <w:pStyle w:val="ListParagraph"/>
              <w:numPr>
                <w:ilvl w:val="0"/>
                <w:numId w:val="24"/>
              </w:numPr>
              <w:ind w:left="8" w:right="-71" w:firstLine="2"/>
              <w:jc w:val="right"/>
              <w:rPr>
                <w:rFonts w:cs="Arial"/>
                <w:sz w:val="20"/>
                <w:szCs w:val="20"/>
              </w:rPr>
            </w:pPr>
          </w:p>
        </w:tc>
        <w:tc>
          <w:tcPr>
            <w:tcW w:w="1558" w:type="pct"/>
          </w:tcPr>
          <w:p w14:paraId="27385497" w14:textId="583E61B0" w:rsidR="006B0A3B" w:rsidRPr="00081EB9" w:rsidRDefault="001E1B36" w:rsidP="001E1B36">
            <w:pPr>
              <w:cnfStyle w:val="000000100000" w:firstRow="0" w:lastRow="0" w:firstColumn="0" w:lastColumn="0" w:oddVBand="0" w:evenVBand="0" w:oddHBand="1" w:evenHBand="0" w:firstRowFirstColumn="0" w:firstRowLastColumn="0" w:lastRowFirstColumn="0" w:lastRowLastColumn="0"/>
              <w:rPr>
                <w:sz w:val="20"/>
              </w:rPr>
            </w:pPr>
            <w:r>
              <w:rPr>
                <w:sz w:val="20"/>
                <w:szCs w:val="20"/>
              </w:rPr>
              <w:t>Mea</w:t>
            </w:r>
            <w:r w:rsidR="003B63CB">
              <w:rPr>
                <w:sz w:val="20"/>
                <w:szCs w:val="20"/>
              </w:rPr>
              <w:t>t analogues</w:t>
            </w:r>
            <w:r w:rsidR="006B0A3B" w:rsidRPr="00081EB9">
              <w:rPr>
                <w:sz w:val="20"/>
                <w:szCs w:val="20"/>
              </w:rPr>
              <w:t xml:space="preserve"> made with soy leghemoglobin and sold from restaurants, takeaway outlets or by caterers should be labelled as ‘genetically modified’. </w:t>
            </w:r>
          </w:p>
        </w:tc>
        <w:tc>
          <w:tcPr>
            <w:tcW w:w="779" w:type="pct"/>
          </w:tcPr>
          <w:p w14:paraId="3711DEDA" w14:textId="5344F826" w:rsidR="006B0A3B" w:rsidRPr="00081EB9" w:rsidRDefault="005122AC" w:rsidP="005122AC">
            <w:pPr>
              <w:cnfStyle w:val="000000100000" w:firstRow="0" w:lastRow="0" w:firstColumn="0" w:lastColumn="0" w:oddVBand="0" w:evenVBand="0" w:oddHBand="1" w:evenHBand="0" w:firstRowFirstColumn="0" w:firstRowLastColumn="0" w:lastRowFirstColumn="0" w:lastRowLastColumn="0"/>
              <w:rPr>
                <w:sz w:val="20"/>
              </w:rPr>
            </w:pPr>
            <w:r>
              <w:rPr>
                <w:sz w:val="20"/>
                <w:szCs w:val="20"/>
              </w:rPr>
              <w:t>Consumer organisation (1</w:t>
            </w:r>
            <w:r w:rsidRPr="00081EB9">
              <w:rPr>
                <w:sz w:val="20"/>
                <w:szCs w:val="20"/>
              </w:rPr>
              <w:t>)</w:t>
            </w:r>
            <w:r>
              <w:rPr>
                <w:sz w:val="20"/>
                <w:szCs w:val="20"/>
              </w:rPr>
              <w:t xml:space="preserve">; </w:t>
            </w:r>
            <w:r w:rsidR="007A1A57">
              <w:rPr>
                <w:sz w:val="20"/>
                <w:szCs w:val="20"/>
              </w:rPr>
              <w:t>Individual submitters (8)</w:t>
            </w:r>
            <w:r w:rsidR="006B0A3B" w:rsidRPr="00081EB9">
              <w:rPr>
                <w:sz w:val="20"/>
                <w:szCs w:val="20"/>
              </w:rPr>
              <w:t xml:space="preserve"> </w:t>
            </w:r>
          </w:p>
        </w:tc>
        <w:tc>
          <w:tcPr>
            <w:tcW w:w="2519" w:type="pct"/>
          </w:tcPr>
          <w:p w14:paraId="439F1B4D" w14:textId="0097A00C" w:rsidR="006B0A3B" w:rsidRPr="00081EB9" w:rsidRDefault="006B0A3B" w:rsidP="0083347A">
            <w:pPr>
              <w:spacing w:after="240"/>
              <w:cnfStyle w:val="000000100000" w:firstRow="0" w:lastRow="0" w:firstColumn="0" w:lastColumn="0" w:oddVBand="0" w:evenVBand="0" w:oddHBand="1" w:evenHBand="0" w:firstRowFirstColumn="0" w:firstRowLastColumn="0" w:lastRowFirstColumn="0" w:lastRowLastColumn="0"/>
              <w:rPr>
                <w:sz w:val="20"/>
              </w:rPr>
            </w:pPr>
            <w:r w:rsidRPr="00081EB9">
              <w:rPr>
                <w:sz w:val="20"/>
                <w:szCs w:val="20"/>
              </w:rPr>
              <w:t xml:space="preserve">The existing exemption from GM labelling for all GM food and ingredients sold for immediate consumption has been in effect since 2002. This approach was reaffirmed in the 2011 Government response to recommendations made in </w:t>
            </w:r>
            <w:hyperlink r:id="rId31" w:history="1">
              <w:r w:rsidRPr="00081EB9">
                <w:rPr>
                  <w:rStyle w:val="Hyperlink"/>
                  <w:sz w:val="20"/>
                  <w:szCs w:val="20"/>
                </w:rPr>
                <w:t>Labelling Logic: Review of Food Labelling Law and Policy</w:t>
              </w:r>
            </w:hyperlink>
            <w:r w:rsidRPr="00081EB9">
              <w:rPr>
                <w:sz w:val="20"/>
                <w:szCs w:val="20"/>
              </w:rPr>
              <w:t>.</w:t>
            </w:r>
            <w:r w:rsidR="001E1B36">
              <w:rPr>
                <w:sz w:val="20"/>
                <w:szCs w:val="20"/>
              </w:rPr>
              <w:t xml:space="preserve"> See </w:t>
            </w:r>
            <w:r w:rsidR="00475844">
              <w:rPr>
                <w:sz w:val="20"/>
                <w:szCs w:val="20"/>
              </w:rPr>
              <w:t>S</w:t>
            </w:r>
            <w:r w:rsidR="001E1B36">
              <w:rPr>
                <w:sz w:val="20"/>
                <w:szCs w:val="20"/>
              </w:rPr>
              <w:t xml:space="preserve">ection 3.2.3 </w:t>
            </w:r>
            <w:r w:rsidR="001E1B36" w:rsidRPr="001E1B36">
              <w:rPr>
                <w:i/>
                <w:sz w:val="20"/>
                <w:szCs w:val="20"/>
              </w:rPr>
              <w:t>Labelling as ‘genetically modified</w:t>
            </w:r>
            <w:r w:rsidR="001E1B36">
              <w:rPr>
                <w:sz w:val="20"/>
                <w:szCs w:val="20"/>
              </w:rPr>
              <w:t xml:space="preserve"> for existing labelling requirements</w:t>
            </w:r>
            <w:r w:rsidR="004816B0">
              <w:rPr>
                <w:sz w:val="20"/>
                <w:szCs w:val="20"/>
              </w:rPr>
              <w:t>, which states that c</w:t>
            </w:r>
            <w:r w:rsidR="004816B0" w:rsidRPr="004816B0">
              <w:rPr>
                <w:sz w:val="20"/>
                <w:szCs w:val="20"/>
              </w:rPr>
              <w:t>onsumers may seek information about the food from the food business.</w:t>
            </w:r>
          </w:p>
        </w:tc>
      </w:tr>
      <w:tr w:rsidR="005122AC" w:rsidRPr="00BA2E47" w14:paraId="05EAD0EA" w14:textId="77777777" w:rsidTr="0083347A">
        <w:tc>
          <w:tcPr>
            <w:cnfStyle w:val="001000000000" w:firstRow="0" w:lastRow="0" w:firstColumn="1" w:lastColumn="0" w:oddVBand="0" w:evenVBand="0" w:oddHBand="0" w:evenHBand="0" w:firstRowFirstColumn="0" w:firstRowLastColumn="0" w:lastRowFirstColumn="0" w:lastRowLastColumn="0"/>
            <w:tcW w:w="145" w:type="pct"/>
            <w:vAlign w:val="center"/>
          </w:tcPr>
          <w:p w14:paraId="3345F176" w14:textId="77777777" w:rsidR="006B0A3B" w:rsidRPr="00E175AB" w:rsidRDefault="006B0A3B" w:rsidP="006B0A3B">
            <w:pPr>
              <w:pStyle w:val="ListParagraph"/>
              <w:numPr>
                <w:ilvl w:val="0"/>
                <w:numId w:val="24"/>
              </w:numPr>
              <w:ind w:left="8" w:right="-71" w:firstLine="2"/>
              <w:jc w:val="right"/>
              <w:rPr>
                <w:rFonts w:cs="Arial"/>
                <w:sz w:val="20"/>
                <w:szCs w:val="20"/>
              </w:rPr>
            </w:pPr>
          </w:p>
        </w:tc>
        <w:tc>
          <w:tcPr>
            <w:tcW w:w="1558" w:type="pct"/>
          </w:tcPr>
          <w:p w14:paraId="32FC4308" w14:textId="77777777" w:rsidR="00CD7977" w:rsidRDefault="00241786" w:rsidP="00241786">
            <w:pPr>
              <w:cnfStyle w:val="000000000000" w:firstRow="0" w:lastRow="0" w:firstColumn="0" w:lastColumn="0" w:oddVBand="0" w:evenVBand="0" w:oddHBand="0" w:evenHBand="0" w:firstRowFirstColumn="0" w:firstRowLastColumn="0" w:lastRowFirstColumn="0" w:lastRowLastColumn="0"/>
              <w:rPr>
                <w:sz w:val="20"/>
              </w:rPr>
            </w:pPr>
            <w:r>
              <w:rPr>
                <w:sz w:val="20"/>
                <w:szCs w:val="20"/>
              </w:rPr>
              <w:t xml:space="preserve">Concerned </w:t>
            </w:r>
            <w:r w:rsidR="003B63CB" w:rsidRPr="003B63CB">
              <w:rPr>
                <w:sz w:val="20"/>
              </w:rPr>
              <w:t xml:space="preserve">the applicants’ meat analogue products </w:t>
            </w:r>
            <w:r>
              <w:rPr>
                <w:sz w:val="20"/>
              </w:rPr>
              <w:t xml:space="preserve">would be represented as meat products and requested clear labelling for consumers to make informed choices. </w:t>
            </w:r>
          </w:p>
          <w:p w14:paraId="7BF2B4CB" w14:textId="77777777" w:rsidR="00CD7977" w:rsidRDefault="00CD7977" w:rsidP="00241786">
            <w:pPr>
              <w:cnfStyle w:val="000000000000" w:firstRow="0" w:lastRow="0" w:firstColumn="0" w:lastColumn="0" w:oddVBand="0" w:evenVBand="0" w:oddHBand="0" w:evenHBand="0" w:firstRowFirstColumn="0" w:firstRowLastColumn="0" w:lastRowFirstColumn="0" w:lastRowLastColumn="0"/>
              <w:rPr>
                <w:sz w:val="20"/>
              </w:rPr>
            </w:pPr>
          </w:p>
          <w:p w14:paraId="1D4D0A2B" w14:textId="00E8C9A1" w:rsidR="006B0A3B" w:rsidRPr="00081EB9" w:rsidRDefault="00CD7977" w:rsidP="00241786">
            <w:pPr>
              <w:cnfStyle w:val="000000000000" w:firstRow="0" w:lastRow="0" w:firstColumn="0" w:lastColumn="0" w:oddVBand="0" w:evenVBand="0" w:oddHBand="0" w:evenHBand="0" w:firstRowFirstColumn="0" w:firstRowLastColumn="0" w:lastRowFirstColumn="0" w:lastRowLastColumn="0"/>
              <w:rPr>
                <w:sz w:val="20"/>
              </w:rPr>
            </w:pPr>
            <w:r w:rsidRPr="0060697A">
              <w:rPr>
                <w:sz w:val="20"/>
              </w:rPr>
              <w:t>Requested FSANZ consult with the ACCC regarding the nami</w:t>
            </w:r>
            <w:r w:rsidR="00E1362C">
              <w:rPr>
                <w:sz w:val="20"/>
              </w:rPr>
              <w:t xml:space="preserve">ng and marketing of Impossible </w:t>
            </w:r>
            <w:r w:rsidRPr="0060697A">
              <w:rPr>
                <w:sz w:val="20"/>
              </w:rPr>
              <w:t>products containing soy leghemoglobin</w:t>
            </w:r>
            <w:r>
              <w:rPr>
                <w:sz w:val="20"/>
              </w:rPr>
              <w:t>.</w:t>
            </w:r>
          </w:p>
        </w:tc>
        <w:tc>
          <w:tcPr>
            <w:tcW w:w="779" w:type="pct"/>
          </w:tcPr>
          <w:p w14:paraId="207502FA" w14:textId="77777777" w:rsidR="00CD7977" w:rsidRDefault="006B0A3B" w:rsidP="00CD7977">
            <w:pPr>
              <w:cnfStyle w:val="000000000000" w:firstRow="0" w:lastRow="0" w:firstColumn="0" w:lastColumn="0" w:oddVBand="0" w:evenVBand="0" w:oddHBand="0" w:evenHBand="0" w:firstRowFirstColumn="0" w:firstRowLastColumn="0" w:lastRowFirstColumn="0" w:lastRowLastColumn="0"/>
              <w:rPr>
                <w:sz w:val="20"/>
                <w:szCs w:val="20"/>
              </w:rPr>
            </w:pPr>
            <w:r w:rsidRPr="00081EB9">
              <w:rPr>
                <w:rFonts w:cs="Arial"/>
                <w:sz w:val="20"/>
                <w:szCs w:val="20"/>
              </w:rPr>
              <w:t>Government (1)</w:t>
            </w:r>
            <w:r w:rsidRPr="00081EB9">
              <w:rPr>
                <w:sz w:val="20"/>
                <w:szCs w:val="20"/>
              </w:rPr>
              <w:t xml:space="preserve">; </w:t>
            </w:r>
            <w:r>
              <w:rPr>
                <w:sz w:val="20"/>
                <w:szCs w:val="20"/>
              </w:rPr>
              <w:t>Primary production organisation</w:t>
            </w:r>
            <w:r w:rsidR="00CD7977">
              <w:rPr>
                <w:sz w:val="20"/>
                <w:szCs w:val="20"/>
              </w:rPr>
              <w:t>s</w:t>
            </w:r>
            <w:r>
              <w:rPr>
                <w:sz w:val="20"/>
                <w:szCs w:val="20"/>
              </w:rPr>
              <w:t xml:space="preserve"> (</w:t>
            </w:r>
            <w:r w:rsidR="00CD7977">
              <w:rPr>
                <w:sz w:val="20"/>
                <w:szCs w:val="20"/>
              </w:rPr>
              <w:t>2</w:t>
            </w:r>
            <w:r>
              <w:rPr>
                <w:sz w:val="20"/>
                <w:szCs w:val="20"/>
              </w:rPr>
              <w:t>)</w:t>
            </w:r>
            <w:r w:rsidR="00CD7977">
              <w:rPr>
                <w:sz w:val="20"/>
                <w:szCs w:val="20"/>
              </w:rPr>
              <w:t>;</w:t>
            </w:r>
          </w:p>
          <w:p w14:paraId="2412F96F" w14:textId="77777777" w:rsidR="006B0A3B" w:rsidRDefault="00CD7977" w:rsidP="00CD797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Consumer organisations (2)</w:t>
            </w:r>
            <w:r w:rsidR="00CB05BB">
              <w:rPr>
                <w:sz w:val="20"/>
                <w:szCs w:val="20"/>
              </w:rPr>
              <w:t>;</w:t>
            </w:r>
          </w:p>
          <w:p w14:paraId="2F8BE658" w14:textId="4B349E51" w:rsidR="006B0A3B" w:rsidRPr="00081EB9" w:rsidRDefault="007A1A57" w:rsidP="00CD7977">
            <w:pPr>
              <w:cnfStyle w:val="000000000000" w:firstRow="0" w:lastRow="0" w:firstColumn="0" w:lastColumn="0" w:oddVBand="0" w:evenVBand="0" w:oddHBand="0" w:evenHBand="0" w:firstRowFirstColumn="0" w:firstRowLastColumn="0" w:lastRowFirstColumn="0" w:lastRowLastColumn="0"/>
              <w:rPr>
                <w:sz w:val="20"/>
              </w:rPr>
            </w:pPr>
            <w:r>
              <w:rPr>
                <w:sz w:val="20"/>
              </w:rPr>
              <w:t>Individual submitters (6)</w:t>
            </w:r>
          </w:p>
        </w:tc>
        <w:tc>
          <w:tcPr>
            <w:tcW w:w="2519" w:type="pct"/>
          </w:tcPr>
          <w:p w14:paraId="29F2D7A0" w14:textId="008E548E" w:rsidR="00370F3D" w:rsidRDefault="00112AA0" w:rsidP="006B0A3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Code </w:t>
            </w:r>
            <w:r w:rsidR="00CD7977">
              <w:rPr>
                <w:sz w:val="20"/>
                <w:szCs w:val="20"/>
              </w:rPr>
              <w:t>requires a</w:t>
            </w:r>
            <w:r>
              <w:rPr>
                <w:sz w:val="20"/>
                <w:szCs w:val="20"/>
              </w:rPr>
              <w:t xml:space="preserve"> </w:t>
            </w:r>
            <w:r w:rsidR="006B0A3B">
              <w:rPr>
                <w:sz w:val="20"/>
                <w:szCs w:val="20"/>
              </w:rPr>
              <w:t>name that is sufficient to indicate the true nature of the food</w:t>
            </w:r>
            <w:r w:rsidR="002238D7">
              <w:rPr>
                <w:sz w:val="20"/>
                <w:szCs w:val="20"/>
              </w:rPr>
              <w:t>. If a particular food is defined for compositional purposes</w:t>
            </w:r>
            <w:r w:rsidR="00397F46">
              <w:rPr>
                <w:sz w:val="20"/>
                <w:szCs w:val="20"/>
              </w:rPr>
              <w:t xml:space="preserve"> (e.g. ‘sausage’)</w:t>
            </w:r>
            <w:r w:rsidR="002238D7">
              <w:rPr>
                <w:sz w:val="20"/>
                <w:szCs w:val="20"/>
              </w:rPr>
              <w:t xml:space="preserve">, the Code allows the </w:t>
            </w:r>
            <w:r w:rsidR="00CD7977" w:rsidRPr="00CD7977">
              <w:rPr>
                <w:sz w:val="20"/>
                <w:szCs w:val="20"/>
              </w:rPr>
              <w:t xml:space="preserve">name of </w:t>
            </w:r>
            <w:r w:rsidR="002238D7">
              <w:rPr>
                <w:sz w:val="20"/>
                <w:szCs w:val="20"/>
              </w:rPr>
              <w:t>a</w:t>
            </w:r>
            <w:r w:rsidR="00CD7977" w:rsidRPr="00CD7977">
              <w:rPr>
                <w:sz w:val="20"/>
                <w:szCs w:val="20"/>
              </w:rPr>
              <w:t xml:space="preserve"> food </w:t>
            </w:r>
            <w:r w:rsidR="002238D7">
              <w:rPr>
                <w:sz w:val="20"/>
                <w:szCs w:val="20"/>
              </w:rPr>
              <w:t>to be</w:t>
            </w:r>
            <w:r w:rsidR="00CD7977">
              <w:rPr>
                <w:sz w:val="20"/>
                <w:szCs w:val="20"/>
              </w:rPr>
              <w:t xml:space="preserve"> </w:t>
            </w:r>
            <w:r w:rsidR="00CD7977" w:rsidRPr="00CD7977">
              <w:rPr>
                <w:sz w:val="20"/>
                <w:szCs w:val="20"/>
              </w:rPr>
              <w:t xml:space="preserve">further qualified so the context makes it clear the food </w:t>
            </w:r>
            <w:r w:rsidR="00CD7977">
              <w:rPr>
                <w:sz w:val="20"/>
                <w:szCs w:val="20"/>
              </w:rPr>
              <w:t xml:space="preserve">for sale </w:t>
            </w:r>
            <w:r w:rsidR="00CD7977" w:rsidRPr="00CD7977">
              <w:rPr>
                <w:sz w:val="20"/>
                <w:szCs w:val="20"/>
              </w:rPr>
              <w:t xml:space="preserve">is not </w:t>
            </w:r>
            <w:r w:rsidR="002238D7">
              <w:rPr>
                <w:sz w:val="20"/>
                <w:szCs w:val="20"/>
              </w:rPr>
              <w:t>the food as defined</w:t>
            </w:r>
            <w:r w:rsidR="00397F46">
              <w:rPr>
                <w:sz w:val="20"/>
                <w:szCs w:val="20"/>
              </w:rPr>
              <w:t xml:space="preserve"> (e.g. ‘soy sausage’)</w:t>
            </w:r>
            <w:r w:rsidR="002238D7">
              <w:rPr>
                <w:sz w:val="20"/>
                <w:szCs w:val="20"/>
              </w:rPr>
              <w:t xml:space="preserve">. </w:t>
            </w:r>
            <w:r w:rsidR="00397F46" w:rsidRPr="002238D7">
              <w:rPr>
                <w:sz w:val="20"/>
                <w:szCs w:val="20"/>
              </w:rPr>
              <w:t xml:space="preserve">FSANZ </w:t>
            </w:r>
            <w:r w:rsidR="00F07A7C">
              <w:rPr>
                <w:sz w:val="20"/>
                <w:szCs w:val="20"/>
              </w:rPr>
              <w:t xml:space="preserve">reviewed the </w:t>
            </w:r>
            <w:r w:rsidR="00397F46" w:rsidRPr="002238D7">
              <w:rPr>
                <w:sz w:val="20"/>
                <w:szCs w:val="20"/>
              </w:rPr>
              <w:t>evidence about consumer trends in meat consumption and their understanding of meat analogue products</w:t>
            </w:r>
            <w:r w:rsidR="00397F46">
              <w:rPr>
                <w:sz w:val="20"/>
                <w:szCs w:val="20"/>
              </w:rPr>
              <w:t xml:space="preserve"> (refer to Section 3.2.6 </w:t>
            </w:r>
            <w:r w:rsidR="00397F46" w:rsidRPr="00397F46">
              <w:rPr>
                <w:i/>
                <w:sz w:val="20"/>
                <w:szCs w:val="20"/>
              </w:rPr>
              <w:t>Representations</w:t>
            </w:r>
            <w:r w:rsidR="00397F46">
              <w:rPr>
                <w:sz w:val="20"/>
                <w:szCs w:val="20"/>
              </w:rPr>
              <w:t>)</w:t>
            </w:r>
            <w:r w:rsidR="00397F46" w:rsidRPr="002238D7">
              <w:rPr>
                <w:i/>
                <w:sz w:val="20"/>
                <w:szCs w:val="20"/>
              </w:rPr>
              <w:t>.</w:t>
            </w:r>
          </w:p>
          <w:p w14:paraId="69D58975" w14:textId="77777777" w:rsidR="00370F3D" w:rsidRDefault="00370F3D" w:rsidP="006B0A3B">
            <w:pPr>
              <w:cnfStyle w:val="000000000000" w:firstRow="0" w:lastRow="0" w:firstColumn="0" w:lastColumn="0" w:oddVBand="0" w:evenVBand="0" w:oddHBand="0" w:evenHBand="0" w:firstRowFirstColumn="0" w:firstRowLastColumn="0" w:lastRowFirstColumn="0" w:lastRowLastColumn="0"/>
              <w:rPr>
                <w:sz w:val="20"/>
                <w:szCs w:val="20"/>
              </w:rPr>
            </w:pPr>
          </w:p>
          <w:p w14:paraId="251085D4" w14:textId="17690606" w:rsidR="006B0A3B" w:rsidRPr="00081EB9" w:rsidRDefault="00370F3D" w:rsidP="0083347A">
            <w:pPr>
              <w:spacing w:after="240"/>
              <w:cnfStyle w:val="000000000000" w:firstRow="0" w:lastRow="0" w:firstColumn="0" w:lastColumn="0" w:oddVBand="0" w:evenVBand="0" w:oddHBand="0" w:evenHBand="0" w:firstRowFirstColumn="0" w:firstRowLastColumn="0" w:lastRowFirstColumn="0" w:lastRowLastColumn="0"/>
              <w:rPr>
                <w:sz w:val="20"/>
              </w:rPr>
            </w:pPr>
            <w:r>
              <w:rPr>
                <w:sz w:val="20"/>
                <w:szCs w:val="20"/>
              </w:rPr>
              <w:t xml:space="preserve">FSANZ </w:t>
            </w:r>
            <w:r w:rsidRPr="002238D7">
              <w:rPr>
                <w:sz w:val="20"/>
                <w:szCs w:val="20"/>
              </w:rPr>
              <w:t xml:space="preserve">has </w:t>
            </w:r>
            <w:r w:rsidR="00F07A7C">
              <w:rPr>
                <w:sz w:val="20"/>
                <w:szCs w:val="20"/>
              </w:rPr>
              <w:t xml:space="preserve">also </w:t>
            </w:r>
            <w:r w:rsidRPr="002238D7">
              <w:rPr>
                <w:sz w:val="20"/>
                <w:szCs w:val="20"/>
              </w:rPr>
              <w:t xml:space="preserve">discussed the marketing of meat analogue products with </w:t>
            </w:r>
            <w:r>
              <w:rPr>
                <w:sz w:val="20"/>
                <w:szCs w:val="20"/>
              </w:rPr>
              <w:t>the Australian Competition and Consumer Commission (ACCC) and New Zealand Commerce Commission (NZCC)</w:t>
            </w:r>
            <w:r w:rsidR="00CB05BB">
              <w:rPr>
                <w:sz w:val="20"/>
                <w:szCs w:val="20"/>
              </w:rPr>
              <w:t>. These</w:t>
            </w:r>
            <w:r>
              <w:rPr>
                <w:sz w:val="20"/>
                <w:szCs w:val="20"/>
              </w:rPr>
              <w:t xml:space="preserve"> agencies </w:t>
            </w:r>
            <w:r w:rsidR="00CB05BB">
              <w:rPr>
                <w:sz w:val="20"/>
                <w:szCs w:val="20"/>
              </w:rPr>
              <w:t xml:space="preserve">are </w:t>
            </w:r>
            <w:r>
              <w:rPr>
                <w:sz w:val="20"/>
                <w:szCs w:val="20"/>
              </w:rPr>
              <w:t>responsible for administering consumer protection legislation</w:t>
            </w:r>
            <w:r w:rsidR="00CB05BB" w:rsidRPr="00370F3D">
              <w:rPr>
                <w:sz w:val="20"/>
                <w:szCs w:val="20"/>
              </w:rPr>
              <w:t xml:space="preserve"> which prohibits misleading or deceptive conduct and false or misleading representations about goods and services.</w:t>
            </w:r>
            <w:r w:rsidR="00CB05BB">
              <w:rPr>
                <w:sz w:val="20"/>
                <w:szCs w:val="20"/>
              </w:rPr>
              <w:t xml:space="preserve"> </w:t>
            </w:r>
            <w:r w:rsidR="002238D7" w:rsidRPr="002238D7">
              <w:rPr>
                <w:sz w:val="20"/>
                <w:szCs w:val="20"/>
              </w:rPr>
              <w:t xml:space="preserve">Their advice regarding consumer </w:t>
            </w:r>
            <w:r w:rsidR="00CB05BB">
              <w:rPr>
                <w:sz w:val="20"/>
                <w:szCs w:val="20"/>
              </w:rPr>
              <w:t>protection legislation</w:t>
            </w:r>
            <w:r w:rsidR="002238D7" w:rsidRPr="002238D7">
              <w:rPr>
                <w:sz w:val="20"/>
                <w:szCs w:val="20"/>
              </w:rPr>
              <w:t xml:space="preserve"> and the complaints they have received to date is described </w:t>
            </w:r>
            <w:r w:rsidR="002238D7">
              <w:rPr>
                <w:sz w:val="20"/>
                <w:szCs w:val="20"/>
              </w:rPr>
              <w:t xml:space="preserve">in </w:t>
            </w:r>
            <w:r w:rsidR="00F07A7C">
              <w:rPr>
                <w:sz w:val="20"/>
                <w:szCs w:val="20"/>
              </w:rPr>
              <w:t xml:space="preserve">the same section. </w:t>
            </w:r>
          </w:p>
        </w:tc>
      </w:tr>
      <w:tr w:rsidR="00241786" w:rsidRPr="00BA2E47" w14:paraId="4EE5A80B" w14:textId="77777777" w:rsidTr="00833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70B100F8" w14:textId="77777777" w:rsidR="00241786" w:rsidRPr="00E175AB" w:rsidRDefault="00241786" w:rsidP="00241786">
            <w:pPr>
              <w:pStyle w:val="ListParagraph"/>
              <w:numPr>
                <w:ilvl w:val="0"/>
                <w:numId w:val="24"/>
              </w:numPr>
              <w:ind w:left="8" w:right="-71" w:firstLine="2"/>
              <w:jc w:val="right"/>
              <w:rPr>
                <w:rFonts w:cs="Arial"/>
                <w:sz w:val="20"/>
                <w:szCs w:val="20"/>
              </w:rPr>
            </w:pPr>
          </w:p>
        </w:tc>
        <w:tc>
          <w:tcPr>
            <w:tcW w:w="1558" w:type="pct"/>
          </w:tcPr>
          <w:p w14:paraId="517F0EA6" w14:textId="4513860B" w:rsidR="00241786" w:rsidRPr="00081EB9" w:rsidRDefault="00241786" w:rsidP="00241786">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Concerned that </w:t>
            </w:r>
            <w:r w:rsidRPr="006B0A3B">
              <w:rPr>
                <w:sz w:val="20"/>
              </w:rPr>
              <w:t xml:space="preserve">meat analogue products are processed foods and should not claim nutritional equivalence to meat. </w:t>
            </w:r>
            <w:r>
              <w:rPr>
                <w:sz w:val="20"/>
              </w:rPr>
              <w:t>Th</w:t>
            </w:r>
            <w:r w:rsidRPr="006B0A3B">
              <w:rPr>
                <w:sz w:val="20"/>
              </w:rPr>
              <w:t xml:space="preserve">e applicants’ meat analogue products should be labelled with the statement ‘not a dietary substitute for meat’. </w:t>
            </w:r>
          </w:p>
        </w:tc>
        <w:tc>
          <w:tcPr>
            <w:tcW w:w="779" w:type="pct"/>
          </w:tcPr>
          <w:p w14:paraId="208C5850" w14:textId="49B02428" w:rsidR="00241786" w:rsidRDefault="00241786" w:rsidP="00241786">
            <w:pPr>
              <w:cnfStyle w:val="000000100000" w:firstRow="0" w:lastRow="0" w:firstColumn="0" w:lastColumn="0" w:oddVBand="0" w:evenVBand="0" w:oddHBand="1" w:evenHBand="0" w:firstRowFirstColumn="0" w:firstRowLastColumn="0" w:lastRowFirstColumn="0" w:lastRowLastColumn="0"/>
              <w:rPr>
                <w:sz w:val="20"/>
              </w:rPr>
            </w:pPr>
            <w:r>
              <w:rPr>
                <w:sz w:val="20"/>
              </w:rPr>
              <w:t>Government (1);</w:t>
            </w:r>
          </w:p>
          <w:p w14:paraId="4B7EEBFB" w14:textId="77777777" w:rsidR="009466E2" w:rsidRDefault="00241786" w:rsidP="007A1A57">
            <w:pPr>
              <w:cnfStyle w:val="000000100000" w:firstRow="0" w:lastRow="0" w:firstColumn="0" w:lastColumn="0" w:oddVBand="0" w:evenVBand="0" w:oddHBand="1" w:evenHBand="0" w:firstRowFirstColumn="0" w:firstRowLastColumn="0" w:lastRowFirstColumn="0" w:lastRowLastColumn="0"/>
              <w:rPr>
                <w:sz w:val="20"/>
              </w:rPr>
            </w:pPr>
            <w:r>
              <w:rPr>
                <w:sz w:val="20"/>
              </w:rPr>
              <w:t>Primary production organisations (2);</w:t>
            </w:r>
          </w:p>
          <w:p w14:paraId="1261C728" w14:textId="50916E65" w:rsidR="00241786" w:rsidRPr="00081EB9" w:rsidRDefault="00241786" w:rsidP="00241786">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Consumer </w:t>
            </w:r>
            <w:r w:rsidR="009466E2">
              <w:rPr>
                <w:sz w:val="20"/>
              </w:rPr>
              <w:t>organisation (1)</w:t>
            </w:r>
            <w:r>
              <w:rPr>
                <w:sz w:val="20"/>
              </w:rPr>
              <w:t xml:space="preserve"> </w:t>
            </w:r>
            <w:r w:rsidR="007A1A57">
              <w:rPr>
                <w:sz w:val="20"/>
              </w:rPr>
              <w:t>Individual submitters (6)</w:t>
            </w:r>
          </w:p>
        </w:tc>
        <w:tc>
          <w:tcPr>
            <w:tcW w:w="2519" w:type="pct"/>
          </w:tcPr>
          <w:p w14:paraId="4C21FCA2" w14:textId="1EB2F3C4" w:rsidR="00241786" w:rsidRPr="00081EB9" w:rsidRDefault="00241786" w:rsidP="00241786">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Voluntary nutrition content claims may be made about these products if claim conditions are met, and claims that compare vitamin or mineral content of one food with another food are prohibited.  FSANZ considers the suggested statement would be </w:t>
            </w:r>
            <w:r w:rsidR="00654147">
              <w:rPr>
                <w:sz w:val="20"/>
              </w:rPr>
              <w:t>inappropriate</w:t>
            </w:r>
            <w:r>
              <w:rPr>
                <w:sz w:val="20"/>
              </w:rPr>
              <w:t xml:space="preserve"> because meat analogue products are dietary substitutes for meat (refer to </w:t>
            </w:r>
            <w:r w:rsidR="00A301D0">
              <w:rPr>
                <w:sz w:val="20"/>
              </w:rPr>
              <w:t xml:space="preserve">Section </w:t>
            </w:r>
            <w:r w:rsidRPr="00437613">
              <w:rPr>
                <w:sz w:val="20"/>
              </w:rPr>
              <w:t>3.2.6.</w:t>
            </w:r>
            <w:r>
              <w:rPr>
                <w:sz w:val="20"/>
              </w:rPr>
              <w:t>3</w:t>
            </w:r>
            <w:r w:rsidRPr="00437613">
              <w:rPr>
                <w:sz w:val="20"/>
              </w:rPr>
              <w:t xml:space="preserve"> </w:t>
            </w:r>
            <w:r w:rsidRPr="00472270">
              <w:rPr>
                <w:i/>
                <w:sz w:val="20"/>
              </w:rPr>
              <w:t>Nutritional equivalence of meat analogue products to meat</w:t>
            </w:r>
            <w:r>
              <w:rPr>
                <w:sz w:val="20"/>
              </w:rPr>
              <w:t>).</w:t>
            </w:r>
          </w:p>
        </w:tc>
      </w:tr>
      <w:tr w:rsidR="00241786" w:rsidRPr="00BA2E47" w14:paraId="7BAA3DBA" w14:textId="77777777" w:rsidTr="0083347A">
        <w:trPr>
          <w:cantSplit/>
        </w:trPr>
        <w:tc>
          <w:tcPr>
            <w:cnfStyle w:val="001000000000" w:firstRow="0" w:lastRow="0" w:firstColumn="1" w:lastColumn="0" w:oddVBand="0" w:evenVBand="0" w:oddHBand="0" w:evenHBand="0" w:firstRowFirstColumn="0" w:firstRowLastColumn="0" w:lastRowFirstColumn="0" w:lastRowLastColumn="0"/>
            <w:tcW w:w="145" w:type="pct"/>
            <w:vAlign w:val="center"/>
          </w:tcPr>
          <w:p w14:paraId="25A4AFA7" w14:textId="77777777" w:rsidR="00241786" w:rsidRPr="00E175AB" w:rsidRDefault="00241786" w:rsidP="00241786">
            <w:pPr>
              <w:pStyle w:val="ListParagraph"/>
              <w:numPr>
                <w:ilvl w:val="0"/>
                <w:numId w:val="24"/>
              </w:numPr>
              <w:ind w:left="8" w:right="-71" w:firstLine="2"/>
              <w:jc w:val="right"/>
              <w:rPr>
                <w:rFonts w:cs="Arial"/>
                <w:sz w:val="20"/>
                <w:szCs w:val="20"/>
              </w:rPr>
            </w:pPr>
          </w:p>
        </w:tc>
        <w:tc>
          <w:tcPr>
            <w:tcW w:w="1558" w:type="pct"/>
          </w:tcPr>
          <w:p w14:paraId="39F36DD0" w14:textId="6E581F0F" w:rsidR="00241786" w:rsidRPr="00081EB9" w:rsidRDefault="00241786" w:rsidP="00241786">
            <w:pPr>
              <w:cnfStyle w:val="000000000000" w:firstRow="0" w:lastRow="0" w:firstColumn="0" w:lastColumn="0" w:oddVBand="0" w:evenVBand="0" w:oddHBand="0" w:evenHBand="0" w:firstRowFirstColumn="0" w:firstRowLastColumn="0" w:lastRowFirstColumn="0" w:lastRowLastColumn="0"/>
              <w:rPr>
                <w:sz w:val="20"/>
              </w:rPr>
            </w:pPr>
            <w:r>
              <w:rPr>
                <w:sz w:val="20"/>
              </w:rPr>
              <w:t>En</w:t>
            </w:r>
            <w:r w:rsidRPr="0016659E">
              <w:rPr>
                <w:sz w:val="20"/>
              </w:rPr>
              <w:t>vironmental and ethical claims</w:t>
            </w:r>
            <w:r>
              <w:rPr>
                <w:sz w:val="20"/>
              </w:rPr>
              <w:t xml:space="preserve"> </w:t>
            </w:r>
            <w:r w:rsidRPr="0016659E">
              <w:rPr>
                <w:sz w:val="20"/>
              </w:rPr>
              <w:t xml:space="preserve">made by the applicant </w:t>
            </w:r>
            <w:r>
              <w:rPr>
                <w:sz w:val="20"/>
              </w:rPr>
              <w:t xml:space="preserve">about their meat analogue product </w:t>
            </w:r>
            <w:r w:rsidRPr="0016659E">
              <w:rPr>
                <w:sz w:val="20"/>
              </w:rPr>
              <w:t>ha</w:t>
            </w:r>
            <w:r>
              <w:rPr>
                <w:sz w:val="20"/>
              </w:rPr>
              <w:t xml:space="preserve">ve not </w:t>
            </w:r>
            <w:r w:rsidRPr="0016659E">
              <w:rPr>
                <w:sz w:val="20"/>
              </w:rPr>
              <w:t xml:space="preserve">been substantiated. </w:t>
            </w:r>
          </w:p>
        </w:tc>
        <w:tc>
          <w:tcPr>
            <w:tcW w:w="779" w:type="pct"/>
          </w:tcPr>
          <w:p w14:paraId="4AC89DBA" w14:textId="55451E6F" w:rsidR="00241786" w:rsidRPr="00081EB9" w:rsidRDefault="00241786" w:rsidP="00241786">
            <w:pPr>
              <w:cnfStyle w:val="000000000000" w:firstRow="0" w:lastRow="0" w:firstColumn="0" w:lastColumn="0" w:oddVBand="0" w:evenVBand="0" w:oddHBand="0" w:evenHBand="0" w:firstRowFirstColumn="0" w:firstRowLastColumn="0" w:lastRowFirstColumn="0" w:lastRowLastColumn="0"/>
              <w:rPr>
                <w:sz w:val="20"/>
              </w:rPr>
            </w:pPr>
            <w:r>
              <w:rPr>
                <w:sz w:val="20"/>
              </w:rPr>
              <w:t>Primary production organisation (1)</w:t>
            </w:r>
          </w:p>
        </w:tc>
        <w:tc>
          <w:tcPr>
            <w:tcW w:w="2519" w:type="pct"/>
          </w:tcPr>
          <w:p w14:paraId="0D57C842" w14:textId="6621167C" w:rsidR="00241786" w:rsidRPr="00081EB9" w:rsidRDefault="00241786" w:rsidP="0083347A">
            <w:pPr>
              <w:spacing w:after="240"/>
              <w:cnfStyle w:val="000000000000" w:firstRow="0" w:lastRow="0" w:firstColumn="0" w:lastColumn="0" w:oddVBand="0" w:evenVBand="0" w:oddHBand="0" w:evenHBand="0" w:firstRowFirstColumn="0" w:firstRowLastColumn="0" w:lastRowFirstColumn="0" w:lastRowLastColumn="0"/>
              <w:rPr>
                <w:sz w:val="20"/>
              </w:rPr>
            </w:pPr>
            <w:r w:rsidRPr="0016659E">
              <w:rPr>
                <w:sz w:val="20"/>
              </w:rPr>
              <w:t xml:space="preserve">The Code does not include requirements for environmental or ethical claims. This is because the standards within the Code are principally aimed at protecting public health and safety (e.g. a standard that requires mandatory declarations for food allergens). When provided voluntarily on food labels, these types of representations are subject to consumer </w:t>
            </w:r>
            <w:r w:rsidR="00370F3D">
              <w:rPr>
                <w:sz w:val="20"/>
              </w:rPr>
              <w:t xml:space="preserve">protection legislation </w:t>
            </w:r>
            <w:r w:rsidRPr="0016659E">
              <w:rPr>
                <w:sz w:val="20"/>
              </w:rPr>
              <w:t>which prohibit false, misleading or deceptive conduct.</w:t>
            </w:r>
          </w:p>
        </w:tc>
      </w:tr>
      <w:tr w:rsidR="00A05329" w:rsidRPr="00BA2E47" w14:paraId="55B376A5" w14:textId="77777777" w:rsidTr="00833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0088F9FA" w14:textId="77777777" w:rsidR="00A05329" w:rsidRPr="0059653B" w:rsidRDefault="00A05329" w:rsidP="0059653B">
            <w:pPr>
              <w:ind w:left="360" w:right="-71"/>
              <w:jc w:val="right"/>
              <w:rPr>
                <w:rFonts w:cs="Arial"/>
                <w:sz w:val="20"/>
                <w:szCs w:val="20"/>
              </w:rPr>
            </w:pPr>
          </w:p>
        </w:tc>
        <w:tc>
          <w:tcPr>
            <w:tcW w:w="4855" w:type="pct"/>
            <w:gridSpan w:val="3"/>
          </w:tcPr>
          <w:p w14:paraId="37626B19" w14:textId="66333778" w:rsidR="00A05329" w:rsidRPr="0059653B" w:rsidRDefault="0059653B" w:rsidP="0059653B">
            <w:pPr>
              <w:spacing w:before="240" w:after="240"/>
              <w:jc w:val="center"/>
              <w:cnfStyle w:val="000000100000" w:firstRow="0" w:lastRow="0" w:firstColumn="0" w:lastColumn="0" w:oddVBand="0" w:evenVBand="0" w:oddHBand="1" w:evenHBand="0" w:firstRowFirstColumn="0" w:firstRowLastColumn="0" w:lastRowFirstColumn="0" w:lastRowLastColumn="0"/>
              <w:rPr>
                <w:b/>
                <w:sz w:val="20"/>
              </w:rPr>
            </w:pPr>
            <w:r w:rsidRPr="0059653B">
              <w:rPr>
                <w:b/>
                <w:sz w:val="24"/>
              </w:rPr>
              <w:t>Other issues on the final meat analogue products for sale</w:t>
            </w:r>
          </w:p>
        </w:tc>
      </w:tr>
      <w:tr w:rsidR="00241786" w:rsidRPr="00BA2E47" w14:paraId="176BF640" w14:textId="77777777" w:rsidTr="0083347A">
        <w:tc>
          <w:tcPr>
            <w:cnfStyle w:val="001000000000" w:firstRow="0" w:lastRow="0" w:firstColumn="1" w:lastColumn="0" w:oddVBand="0" w:evenVBand="0" w:oddHBand="0" w:evenHBand="0" w:firstRowFirstColumn="0" w:firstRowLastColumn="0" w:lastRowFirstColumn="0" w:lastRowLastColumn="0"/>
            <w:tcW w:w="145" w:type="pct"/>
            <w:vAlign w:val="center"/>
          </w:tcPr>
          <w:p w14:paraId="2B44CA65" w14:textId="77777777" w:rsidR="00241786" w:rsidRPr="00E175AB" w:rsidRDefault="00241786" w:rsidP="00E20660">
            <w:pPr>
              <w:pStyle w:val="ListParagraph"/>
              <w:numPr>
                <w:ilvl w:val="0"/>
                <w:numId w:val="24"/>
              </w:numPr>
              <w:ind w:right="-71"/>
              <w:jc w:val="right"/>
              <w:rPr>
                <w:rFonts w:cs="Arial"/>
                <w:sz w:val="20"/>
                <w:szCs w:val="20"/>
              </w:rPr>
            </w:pPr>
          </w:p>
        </w:tc>
        <w:tc>
          <w:tcPr>
            <w:tcW w:w="1558" w:type="pct"/>
          </w:tcPr>
          <w:p w14:paraId="09155372" w14:textId="76F256E1" w:rsidR="00241786" w:rsidRPr="009238E5" w:rsidRDefault="00A05329" w:rsidP="00241786">
            <w:pPr>
              <w:cnfStyle w:val="000000000000" w:firstRow="0" w:lastRow="0" w:firstColumn="0" w:lastColumn="0" w:oddVBand="0" w:evenVBand="0" w:oddHBand="0" w:evenHBand="0" w:firstRowFirstColumn="0" w:firstRowLastColumn="0" w:lastRowFirstColumn="0" w:lastRowLastColumn="0"/>
              <w:rPr>
                <w:sz w:val="20"/>
              </w:rPr>
            </w:pPr>
            <w:r w:rsidRPr="009238E5">
              <w:rPr>
                <w:sz w:val="20"/>
              </w:rPr>
              <w:t>Why has FSANZ no</w:t>
            </w:r>
            <w:r w:rsidR="00E1362C">
              <w:rPr>
                <w:sz w:val="20"/>
              </w:rPr>
              <w:t>t assessed the final Impossible</w:t>
            </w:r>
            <w:r w:rsidRPr="009238E5">
              <w:rPr>
                <w:sz w:val="20"/>
              </w:rPr>
              <w:t xml:space="preserve"> meat analogue products for sale?</w:t>
            </w:r>
          </w:p>
        </w:tc>
        <w:tc>
          <w:tcPr>
            <w:tcW w:w="779" w:type="pct"/>
          </w:tcPr>
          <w:p w14:paraId="122EEC39" w14:textId="1697FD0F" w:rsidR="00241786" w:rsidRPr="009238E5" w:rsidRDefault="00206908" w:rsidP="00241786">
            <w:pPr>
              <w:cnfStyle w:val="000000000000" w:firstRow="0" w:lastRow="0" w:firstColumn="0" w:lastColumn="0" w:oddVBand="0" w:evenVBand="0" w:oddHBand="0" w:evenHBand="0" w:firstRowFirstColumn="0" w:firstRowLastColumn="0" w:lastRowFirstColumn="0" w:lastRowLastColumn="0"/>
              <w:rPr>
                <w:sz w:val="20"/>
              </w:rPr>
            </w:pPr>
            <w:r>
              <w:rPr>
                <w:sz w:val="20"/>
              </w:rPr>
              <w:t>Consumer organisation (2)</w:t>
            </w:r>
          </w:p>
        </w:tc>
        <w:tc>
          <w:tcPr>
            <w:tcW w:w="2519" w:type="pct"/>
          </w:tcPr>
          <w:p w14:paraId="2D28F5D7" w14:textId="4C04C27D" w:rsidR="00241786" w:rsidRPr="009238E5" w:rsidRDefault="00A05329" w:rsidP="0083347A">
            <w:pPr>
              <w:widowControl/>
              <w:spacing w:after="240"/>
              <w:cnfStyle w:val="000000000000" w:firstRow="0" w:lastRow="0" w:firstColumn="0" w:lastColumn="0" w:oddVBand="0" w:evenVBand="0" w:oddHBand="0" w:evenHBand="0" w:firstRowFirstColumn="0" w:firstRowLastColumn="0" w:lastRowFirstColumn="0" w:lastRowLastColumn="0"/>
              <w:rPr>
                <w:sz w:val="20"/>
              </w:rPr>
            </w:pPr>
            <w:r w:rsidRPr="009238E5">
              <w:rPr>
                <w:sz w:val="20"/>
              </w:rPr>
              <w:t>Manufacturers have a responsibility to ensure all ingredients in their products sold in Australia and New Zealand comply with the Code. Application A1186 requests to introduce soy leghemoglobin only, a GM nutritive substance, into meat analogue products. It has no history of safe use in Australia or New Zealand, for this reason FSANZ has a legislative requirement to assess its safety and suitability for human consumption.</w:t>
            </w:r>
          </w:p>
        </w:tc>
      </w:tr>
      <w:tr w:rsidR="00241786" w:rsidRPr="00BA2E47" w14:paraId="17D7B0D7" w14:textId="77777777" w:rsidTr="00833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458F9E8A" w14:textId="77777777" w:rsidR="00241786" w:rsidRPr="00E175AB" w:rsidRDefault="00241786" w:rsidP="00241786">
            <w:pPr>
              <w:pStyle w:val="ListParagraph"/>
              <w:numPr>
                <w:ilvl w:val="0"/>
                <w:numId w:val="24"/>
              </w:numPr>
              <w:ind w:left="8" w:right="-71" w:firstLine="2"/>
              <w:jc w:val="right"/>
              <w:rPr>
                <w:rFonts w:cs="Arial"/>
                <w:sz w:val="20"/>
                <w:szCs w:val="20"/>
              </w:rPr>
            </w:pPr>
          </w:p>
        </w:tc>
        <w:tc>
          <w:tcPr>
            <w:tcW w:w="1558" w:type="pct"/>
          </w:tcPr>
          <w:p w14:paraId="1FEFA120" w14:textId="496D659B" w:rsidR="00E25FF2" w:rsidRPr="009238E5" w:rsidRDefault="00E25FF2" w:rsidP="00E25FF2">
            <w:pPr>
              <w:widowControl/>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eastAsia="en-GB" w:bidi="ar-SA"/>
              </w:rPr>
            </w:pPr>
            <w:r w:rsidRPr="009238E5">
              <w:rPr>
                <w:sz w:val="20"/>
              </w:rPr>
              <w:t>What quality control processes are in place to ensure th</w:t>
            </w:r>
            <w:r w:rsidR="00E1362C">
              <w:rPr>
                <w:sz w:val="20"/>
              </w:rPr>
              <w:t>e safe production of Impossible</w:t>
            </w:r>
            <w:r w:rsidRPr="009238E5">
              <w:rPr>
                <w:sz w:val="20"/>
              </w:rPr>
              <w:t xml:space="preserve"> products containing soy leghemoglobin?</w:t>
            </w:r>
            <w:r w:rsidRPr="009238E5">
              <w:rPr>
                <w:rFonts w:ascii="Times New Roman" w:eastAsiaTheme="minorHAnsi" w:hAnsi="Times New Roman"/>
                <w:sz w:val="20"/>
                <w:lang w:eastAsia="en-GB" w:bidi="ar-SA"/>
              </w:rPr>
              <w:t xml:space="preserve"> </w:t>
            </w:r>
          </w:p>
          <w:p w14:paraId="31C1F0AC" w14:textId="77777777" w:rsidR="00241786" w:rsidRPr="009238E5" w:rsidRDefault="00241786" w:rsidP="00241786">
            <w:pPr>
              <w:cnfStyle w:val="000000100000" w:firstRow="0" w:lastRow="0" w:firstColumn="0" w:lastColumn="0" w:oddVBand="0" w:evenVBand="0" w:oddHBand="1" w:evenHBand="0" w:firstRowFirstColumn="0" w:firstRowLastColumn="0" w:lastRowFirstColumn="0" w:lastRowLastColumn="0"/>
              <w:rPr>
                <w:sz w:val="20"/>
              </w:rPr>
            </w:pPr>
          </w:p>
        </w:tc>
        <w:tc>
          <w:tcPr>
            <w:tcW w:w="779" w:type="pct"/>
          </w:tcPr>
          <w:p w14:paraId="783AB678" w14:textId="54244E70" w:rsidR="00241786" w:rsidRPr="009238E5" w:rsidRDefault="00DC0BF9" w:rsidP="00241786">
            <w:pPr>
              <w:cnfStyle w:val="000000100000" w:firstRow="0" w:lastRow="0" w:firstColumn="0" w:lastColumn="0" w:oddVBand="0" w:evenVBand="0" w:oddHBand="1" w:evenHBand="0" w:firstRowFirstColumn="0" w:firstRowLastColumn="0" w:lastRowFirstColumn="0" w:lastRowLastColumn="0"/>
              <w:rPr>
                <w:sz w:val="20"/>
              </w:rPr>
            </w:pPr>
            <w:r>
              <w:rPr>
                <w:sz w:val="20"/>
              </w:rPr>
              <w:t>Government (3)</w:t>
            </w:r>
          </w:p>
        </w:tc>
        <w:tc>
          <w:tcPr>
            <w:tcW w:w="2519" w:type="pct"/>
          </w:tcPr>
          <w:p w14:paraId="621E7929" w14:textId="367E2A05" w:rsidR="00E25FF2" w:rsidRPr="009238E5" w:rsidRDefault="00E25FF2" w:rsidP="00E25FF2">
            <w:pPr>
              <w:widowControl/>
              <w:cnfStyle w:val="000000100000" w:firstRow="0" w:lastRow="0" w:firstColumn="0" w:lastColumn="0" w:oddVBand="0" w:evenVBand="0" w:oddHBand="1" w:evenHBand="0" w:firstRowFirstColumn="0" w:firstRowLastColumn="0" w:lastRowFirstColumn="0" w:lastRowLastColumn="0"/>
              <w:rPr>
                <w:sz w:val="20"/>
                <w:szCs w:val="22"/>
              </w:rPr>
            </w:pPr>
            <w:r w:rsidRPr="009238E5">
              <w:rPr>
                <w:sz w:val="20"/>
                <w:szCs w:val="22"/>
              </w:rPr>
              <w:t>The applicant has a requirement to ensure their manufacturing methods comply with Good Manufacturing Processes. They have provided the following information on their quality control processes:</w:t>
            </w:r>
          </w:p>
          <w:p w14:paraId="461B15AD" w14:textId="77777777" w:rsidR="00E25FF2" w:rsidRPr="009238E5" w:rsidRDefault="00E25FF2" w:rsidP="00E25FF2">
            <w:pPr>
              <w:pStyle w:val="Default"/>
              <w:numPr>
                <w:ilvl w:val="0"/>
                <w:numId w:val="26"/>
              </w:numPr>
              <w:cnfStyle w:val="000000100000" w:firstRow="0" w:lastRow="0" w:firstColumn="0" w:lastColumn="0" w:oddVBand="0" w:evenVBand="0" w:oddHBand="1" w:evenHBand="0" w:firstRowFirstColumn="0" w:firstRowLastColumn="0" w:lastRowFirstColumn="0" w:lastRowLastColumn="0"/>
              <w:rPr>
                <w:sz w:val="20"/>
                <w:szCs w:val="22"/>
              </w:rPr>
            </w:pPr>
            <w:r w:rsidRPr="009238E5">
              <w:rPr>
                <w:sz w:val="20"/>
                <w:szCs w:val="22"/>
              </w:rPr>
              <w:t xml:space="preserve">They operate under the Hazard Analysis and Critical Control Point (HACCP) system which controls bacterial pathogens. </w:t>
            </w:r>
          </w:p>
          <w:p w14:paraId="181B6A63" w14:textId="77777777" w:rsidR="00E25FF2" w:rsidRPr="009238E5" w:rsidRDefault="00E25FF2" w:rsidP="00E25FF2">
            <w:pPr>
              <w:pStyle w:val="Default"/>
              <w:numPr>
                <w:ilvl w:val="0"/>
                <w:numId w:val="26"/>
              </w:numPr>
              <w:cnfStyle w:val="000000100000" w:firstRow="0" w:lastRow="0" w:firstColumn="0" w:lastColumn="0" w:oddVBand="0" w:evenVBand="0" w:oddHBand="1" w:evenHBand="0" w:firstRowFirstColumn="0" w:firstRowLastColumn="0" w:lastRowFirstColumn="0" w:lastRowLastColumn="0"/>
              <w:rPr>
                <w:sz w:val="20"/>
                <w:szCs w:val="22"/>
              </w:rPr>
            </w:pPr>
            <w:r w:rsidRPr="009238E5">
              <w:rPr>
                <w:sz w:val="20"/>
                <w:szCs w:val="22"/>
              </w:rPr>
              <w:lastRenderedPageBreak/>
              <w:t xml:space="preserve">They have undertaken a biological assessment under Preventive Control regulations in the United States. </w:t>
            </w:r>
          </w:p>
          <w:p w14:paraId="6ECD17F3" w14:textId="77777777" w:rsidR="00E25FF2" w:rsidRPr="009238E5" w:rsidRDefault="00E25FF2" w:rsidP="00E25FF2">
            <w:pPr>
              <w:pStyle w:val="Default"/>
              <w:numPr>
                <w:ilvl w:val="0"/>
                <w:numId w:val="26"/>
              </w:numPr>
              <w:cnfStyle w:val="000000100000" w:firstRow="0" w:lastRow="0" w:firstColumn="0" w:lastColumn="0" w:oddVBand="0" w:evenVBand="0" w:oddHBand="1" w:evenHBand="0" w:firstRowFirstColumn="0" w:firstRowLastColumn="0" w:lastRowFirstColumn="0" w:lastRowLastColumn="0"/>
              <w:rPr>
                <w:sz w:val="20"/>
                <w:szCs w:val="22"/>
              </w:rPr>
            </w:pPr>
            <w:r w:rsidRPr="009238E5">
              <w:rPr>
                <w:sz w:val="20"/>
                <w:szCs w:val="22"/>
              </w:rPr>
              <w:t xml:space="preserve">Certificates of Analysis (provided to FSANZ confidentially) for the final product confirms the absence of bacterial pathogens in the final frozen and packaged product. </w:t>
            </w:r>
          </w:p>
          <w:p w14:paraId="4D1CCA20" w14:textId="77777777" w:rsidR="00E25FF2" w:rsidRPr="009238E5" w:rsidRDefault="00E25FF2" w:rsidP="00E25FF2">
            <w:pPr>
              <w:pStyle w:val="ListParagraph"/>
              <w:widowControl/>
              <w:numPr>
                <w:ilvl w:val="0"/>
                <w:numId w:val="26"/>
              </w:numPr>
              <w:cnfStyle w:val="000000100000" w:firstRow="0" w:lastRow="0" w:firstColumn="0" w:lastColumn="0" w:oddVBand="0" w:evenVBand="0" w:oddHBand="1" w:evenHBand="0" w:firstRowFirstColumn="0" w:firstRowLastColumn="0" w:lastRowFirstColumn="0" w:lastRowLastColumn="0"/>
              <w:rPr>
                <w:sz w:val="20"/>
                <w:szCs w:val="22"/>
              </w:rPr>
            </w:pPr>
            <w:r w:rsidRPr="009238E5">
              <w:rPr>
                <w:sz w:val="20"/>
                <w:szCs w:val="22"/>
              </w:rPr>
              <w:t>Their facilities utilise dedicated production lines, employees and tools for meat analogue products. These</w:t>
            </w:r>
            <w:r w:rsidRPr="009238E5">
              <w:rPr>
                <w:sz w:val="20"/>
              </w:rPr>
              <w:t xml:space="preserve"> </w:t>
            </w:r>
            <w:r w:rsidRPr="009238E5">
              <w:rPr>
                <w:sz w:val="20"/>
                <w:szCs w:val="22"/>
              </w:rPr>
              <w:t>control processes also include safe handling and storage of the final product for sale.</w:t>
            </w:r>
          </w:p>
          <w:p w14:paraId="5BC280A0" w14:textId="77777777" w:rsidR="00E25FF2" w:rsidRPr="009238E5" w:rsidRDefault="00E25FF2" w:rsidP="00E25FF2">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sz w:val="20"/>
              </w:rPr>
            </w:pPr>
            <w:r w:rsidRPr="009238E5">
              <w:rPr>
                <w:sz w:val="20"/>
                <w:szCs w:val="22"/>
              </w:rPr>
              <w:t>The quality assurance department inspect current co-manufacturing companies in the US and their adherence to contractual obligations. Any co-manufacturers are required to comply with third-party food safety requirements, such as The Safe Quality Food Institute's (SQFI) SQF Code in the United States and are required to pass third-party audits.</w:t>
            </w:r>
          </w:p>
          <w:p w14:paraId="7F771E70" w14:textId="6E495067" w:rsidR="00241786" w:rsidRPr="009238E5" w:rsidRDefault="00E25FF2" w:rsidP="0083347A">
            <w:pPr>
              <w:pStyle w:val="ListParagraph"/>
              <w:widowControl/>
              <w:numPr>
                <w:ilvl w:val="0"/>
                <w:numId w:val="26"/>
              </w:numPr>
              <w:spacing w:after="240"/>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0"/>
                <w:lang w:eastAsia="en-GB" w:bidi="ar-SA"/>
              </w:rPr>
            </w:pPr>
            <w:r w:rsidRPr="009238E5">
              <w:rPr>
                <w:sz w:val="20"/>
                <w:szCs w:val="22"/>
              </w:rPr>
              <w:t xml:space="preserve">The traceability of soy leghemoglobin (in LegH Prep) production and distribution, removes the risk of unauthorised use. </w:t>
            </w:r>
          </w:p>
        </w:tc>
      </w:tr>
      <w:tr w:rsidR="00E25FF2" w:rsidRPr="00BA2E47" w14:paraId="04AEDE1D" w14:textId="77777777" w:rsidTr="0083347A">
        <w:tc>
          <w:tcPr>
            <w:cnfStyle w:val="001000000000" w:firstRow="0" w:lastRow="0" w:firstColumn="1" w:lastColumn="0" w:oddVBand="0" w:evenVBand="0" w:oddHBand="0" w:evenHBand="0" w:firstRowFirstColumn="0" w:firstRowLastColumn="0" w:lastRowFirstColumn="0" w:lastRowLastColumn="0"/>
            <w:tcW w:w="145" w:type="pct"/>
            <w:vAlign w:val="center"/>
          </w:tcPr>
          <w:p w14:paraId="207E7C80" w14:textId="77777777" w:rsidR="00E25FF2" w:rsidRPr="00E175AB" w:rsidRDefault="00E25FF2" w:rsidP="00241786">
            <w:pPr>
              <w:pStyle w:val="ListParagraph"/>
              <w:numPr>
                <w:ilvl w:val="0"/>
                <w:numId w:val="24"/>
              </w:numPr>
              <w:ind w:left="8" w:right="-71" w:firstLine="2"/>
              <w:jc w:val="right"/>
              <w:rPr>
                <w:rFonts w:cs="Arial"/>
                <w:sz w:val="20"/>
                <w:szCs w:val="20"/>
              </w:rPr>
            </w:pPr>
          </w:p>
        </w:tc>
        <w:tc>
          <w:tcPr>
            <w:tcW w:w="1558" w:type="pct"/>
          </w:tcPr>
          <w:p w14:paraId="2F7B0461" w14:textId="43CA47D4" w:rsidR="00E25FF2" w:rsidRPr="009238E5" w:rsidRDefault="00E25FF2" w:rsidP="00E25FF2">
            <w:pPr>
              <w:widowControl/>
              <w:cnfStyle w:val="000000000000" w:firstRow="0" w:lastRow="0" w:firstColumn="0" w:lastColumn="0" w:oddVBand="0" w:evenVBand="0" w:oddHBand="0" w:evenHBand="0" w:firstRowFirstColumn="0" w:firstRowLastColumn="0" w:lastRowFirstColumn="0" w:lastRowLastColumn="0"/>
              <w:rPr>
                <w:sz w:val="20"/>
              </w:rPr>
            </w:pPr>
            <w:r w:rsidRPr="009238E5">
              <w:rPr>
                <w:sz w:val="20"/>
              </w:rPr>
              <w:t xml:space="preserve">What is the likelihood </w:t>
            </w:r>
            <w:r w:rsidR="00E1362C">
              <w:rPr>
                <w:sz w:val="20"/>
              </w:rPr>
              <w:t>of Impossible</w:t>
            </w:r>
            <w:r w:rsidRPr="009238E5">
              <w:rPr>
                <w:sz w:val="20"/>
              </w:rPr>
              <w:t xml:space="preserve"> products cross-contaminating other products (such as meat)?</w:t>
            </w:r>
          </w:p>
        </w:tc>
        <w:tc>
          <w:tcPr>
            <w:tcW w:w="779" w:type="pct"/>
          </w:tcPr>
          <w:p w14:paraId="1D63DAD3" w14:textId="60DA2EED" w:rsidR="00E25FF2" w:rsidRPr="009238E5" w:rsidRDefault="00206908" w:rsidP="00241786">
            <w:pPr>
              <w:cnfStyle w:val="000000000000" w:firstRow="0" w:lastRow="0" w:firstColumn="0" w:lastColumn="0" w:oddVBand="0" w:evenVBand="0" w:oddHBand="0" w:evenHBand="0" w:firstRowFirstColumn="0" w:firstRowLastColumn="0" w:lastRowFirstColumn="0" w:lastRowLastColumn="0"/>
              <w:rPr>
                <w:sz w:val="20"/>
              </w:rPr>
            </w:pPr>
            <w:r>
              <w:rPr>
                <w:sz w:val="20"/>
              </w:rPr>
              <w:t>Government (2)</w:t>
            </w:r>
          </w:p>
        </w:tc>
        <w:tc>
          <w:tcPr>
            <w:tcW w:w="2519" w:type="pct"/>
          </w:tcPr>
          <w:p w14:paraId="54242FE6" w14:textId="0D0A3084" w:rsidR="00E643BC" w:rsidRPr="009238E5" w:rsidRDefault="00E643BC" w:rsidP="00E643BC">
            <w:pPr>
              <w:widowControl/>
              <w:cnfStyle w:val="000000000000" w:firstRow="0" w:lastRow="0" w:firstColumn="0" w:lastColumn="0" w:oddVBand="0" w:evenVBand="0" w:oddHBand="0" w:evenHBand="0" w:firstRowFirstColumn="0" w:firstRowLastColumn="0" w:lastRowFirstColumn="0" w:lastRowLastColumn="0"/>
              <w:rPr>
                <w:sz w:val="20"/>
                <w:szCs w:val="22"/>
              </w:rPr>
            </w:pPr>
            <w:r w:rsidRPr="009238E5">
              <w:rPr>
                <w:sz w:val="20"/>
                <w:szCs w:val="22"/>
              </w:rPr>
              <w:t>FSANZ considers the ina</w:t>
            </w:r>
            <w:r w:rsidR="00E1362C">
              <w:rPr>
                <w:sz w:val="20"/>
                <w:szCs w:val="22"/>
              </w:rPr>
              <w:t>dvertent addition of Impossible</w:t>
            </w:r>
            <w:r w:rsidRPr="009238E5">
              <w:rPr>
                <w:sz w:val="20"/>
                <w:szCs w:val="22"/>
              </w:rPr>
              <w:t xml:space="preserve"> products to other food products (such as meat) highly unlikely. As mentioned above, FSANZ consider adequate control processes are in place to prevent this from occurring. If a co-manufacturer were to produce meat products in </w:t>
            </w:r>
            <w:r w:rsidR="00E1362C">
              <w:rPr>
                <w:sz w:val="20"/>
                <w:szCs w:val="22"/>
              </w:rPr>
              <w:t>the same facility as Impossible</w:t>
            </w:r>
            <w:r w:rsidRPr="009238E5">
              <w:rPr>
                <w:sz w:val="20"/>
                <w:szCs w:val="22"/>
              </w:rPr>
              <w:t xml:space="preserve"> products, the applicant would implement contracts requiring their products be produced on dedicated lines, with dedicated employees and tools. </w:t>
            </w:r>
          </w:p>
          <w:p w14:paraId="50569FC7" w14:textId="183ECA34" w:rsidR="00E643BC" w:rsidRPr="009238E5" w:rsidRDefault="00E643BC" w:rsidP="00E643BC">
            <w:pPr>
              <w:widowControl/>
              <w:cnfStyle w:val="000000000000" w:firstRow="0" w:lastRow="0" w:firstColumn="0" w:lastColumn="0" w:oddVBand="0" w:evenVBand="0" w:oddHBand="0" w:evenHBand="0" w:firstRowFirstColumn="0" w:firstRowLastColumn="0" w:lastRowFirstColumn="0" w:lastRowLastColumn="0"/>
              <w:rPr>
                <w:sz w:val="20"/>
                <w:szCs w:val="22"/>
              </w:rPr>
            </w:pPr>
          </w:p>
          <w:p w14:paraId="1ACEA579" w14:textId="7BEB5722" w:rsidR="00E25FF2" w:rsidRPr="009238E5" w:rsidRDefault="00E643BC" w:rsidP="0083347A">
            <w:pPr>
              <w:widowControl/>
              <w:spacing w:after="240"/>
              <w:cnfStyle w:val="000000000000" w:firstRow="0" w:lastRow="0" w:firstColumn="0" w:lastColumn="0" w:oddVBand="0" w:evenVBand="0" w:oddHBand="0" w:evenHBand="0" w:firstRowFirstColumn="0" w:firstRowLastColumn="0" w:lastRowFirstColumn="0" w:lastRowLastColumn="0"/>
              <w:rPr>
                <w:sz w:val="20"/>
                <w:lang w:bidi="ar-SA"/>
              </w:rPr>
            </w:pPr>
            <w:r w:rsidRPr="009238E5">
              <w:rPr>
                <w:sz w:val="20"/>
                <w:lang w:bidi="ar-SA"/>
              </w:rPr>
              <w:t xml:space="preserve">As discussed in the </w:t>
            </w:r>
            <w:r w:rsidR="00475844" w:rsidRPr="009238E5">
              <w:rPr>
                <w:sz w:val="20"/>
                <w:lang w:bidi="ar-SA"/>
              </w:rPr>
              <w:t xml:space="preserve">cost benefit </w:t>
            </w:r>
            <w:r w:rsidR="0067305B" w:rsidRPr="009238E5">
              <w:rPr>
                <w:sz w:val="20"/>
                <w:lang w:bidi="ar-SA"/>
              </w:rPr>
              <w:t xml:space="preserve">Section </w:t>
            </w:r>
            <w:r w:rsidRPr="009238E5">
              <w:rPr>
                <w:sz w:val="20"/>
                <w:lang w:bidi="ar-SA"/>
              </w:rPr>
              <w:t>of the 2</w:t>
            </w:r>
            <w:r w:rsidRPr="009238E5">
              <w:rPr>
                <w:sz w:val="20"/>
                <w:vertAlign w:val="superscript"/>
                <w:lang w:bidi="ar-SA"/>
              </w:rPr>
              <w:t>nd</w:t>
            </w:r>
            <w:r w:rsidR="00E1362C">
              <w:rPr>
                <w:sz w:val="20"/>
                <w:lang w:bidi="ar-SA"/>
              </w:rPr>
              <w:t xml:space="preserve"> CFS report, Impossible</w:t>
            </w:r>
            <w:r w:rsidRPr="009238E5">
              <w:rPr>
                <w:sz w:val="20"/>
                <w:lang w:bidi="ar-SA"/>
              </w:rPr>
              <w:t xml:space="preserve"> products are more expensive than meat, meaning there would be no incentive to mix this product with meat. Any third party misrepresenting the foods they sell are in breach of consumer laws. </w:t>
            </w:r>
          </w:p>
        </w:tc>
      </w:tr>
      <w:tr w:rsidR="00E643BC" w:rsidRPr="00BA2E47" w14:paraId="11B06904" w14:textId="77777777" w:rsidTr="00833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 w:type="pct"/>
            <w:vAlign w:val="center"/>
          </w:tcPr>
          <w:p w14:paraId="1F02E073" w14:textId="77777777" w:rsidR="00E643BC" w:rsidRPr="00E175AB" w:rsidRDefault="00E643BC" w:rsidP="00241786">
            <w:pPr>
              <w:pStyle w:val="ListParagraph"/>
              <w:numPr>
                <w:ilvl w:val="0"/>
                <w:numId w:val="24"/>
              </w:numPr>
              <w:ind w:left="8" w:right="-71" w:firstLine="2"/>
              <w:jc w:val="right"/>
              <w:rPr>
                <w:rFonts w:cs="Arial"/>
                <w:sz w:val="20"/>
                <w:szCs w:val="20"/>
              </w:rPr>
            </w:pPr>
          </w:p>
        </w:tc>
        <w:tc>
          <w:tcPr>
            <w:tcW w:w="1558" w:type="pct"/>
          </w:tcPr>
          <w:p w14:paraId="4C69588B" w14:textId="16F7DDC6" w:rsidR="00E643BC" w:rsidRPr="009238E5" w:rsidRDefault="00E643BC" w:rsidP="00E25FF2">
            <w:pPr>
              <w:widowControl/>
              <w:cnfStyle w:val="000000100000" w:firstRow="0" w:lastRow="0" w:firstColumn="0" w:lastColumn="0" w:oddVBand="0" w:evenVBand="0" w:oddHBand="1" w:evenHBand="0" w:firstRowFirstColumn="0" w:firstRowLastColumn="0" w:lastRowFirstColumn="0" w:lastRowLastColumn="0"/>
              <w:rPr>
                <w:sz w:val="20"/>
              </w:rPr>
            </w:pPr>
            <w:r w:rsidRPr="009238E5">
              <w:rPr>
                <w:sz w:val="20"/>
              </w:rPr>
              <w:t>To ensure food safety, appropriate storage and preparation instructions of the applicant’s meat analogue products should be provided to suppliers and consumers</w:t>
            </w:r>
          </w:p>
        </w:tc>
        <w:tc>
          <w:tcPr>
            <w:tcW w:w="779" w:type="pct"/>
          </w:tcPr>
          <w:p w14:paraId="0076B241" w14:textId="549E72FD" w:rsidR="00E643BC" w:rsidRPr="009238E5" w:rsidRDefault="00206908" w:rsidP="00241786">
            <w:pPr>
              <w:cnfStyle w:val="000000100000" w:firstRow="0" w:lastRow="0" w:firstColumn="0" w:lastColumn="0" w:oddVBand="0" w:evenVBand="0" w:oddHBand="1" w:evenHBand="0" w:firstRowFirstColumn="0" w:firstRowLastColumn="0" w:lastRowFirstColumn="0" w:lastRowLastColumn="0"/>
              <w:rPr>
                <w:sz w:val="20"/>
              </w:rPr>
            </w:pPr>
            <w:r>
              <w:rPr>
                <w:sz w:val="20"/>
              </w:rPr>
              <w:t>Government (2)</w:t>
            </w:r>
          </w:p>
        </w:tc>
        <w:tc>
          <w:tcPr>
            <w:tcW w:w="2519" w:type="pct"/>
          </w:tcPr>
          <w:p w14:paraId="26AD26C7" w14:textId="663A6434" w:rsidR="00E643BC" w:rsidRPr="009238E5" w:rsidRDefault="00E643BC" w:rsidP="00E643BC">
            <w:pPr>
              <w:pStyle w:val="Default"/>
              <w:cnfStyle w:val="000000100000" w:firstRow="0" w:lastRow="0" w:firstColumn="0" w:lastColumn="0" w:oddVBand="0" w:evenVBand="0" w:oddHBand="1" w:evenHBand="0" w:firstRowFirstColumn="0" w:firstRowLastColumn="0" w:lastRowFirstColumn="0" w:lastRowLastColumn="0"/>
              <w:rPr>
                <w:sz w:val="20"/>
                <w:szCs w:val="22"/>
              </w:rPr>
            </w:pPr>
            <w:r w:rsidRPr="009238E5">
              <w:rPr>
                <w:sz w:val="20"/>
                <w:szCs w:val="22"/>
              </w:rPr>
              <w:t>Retail packaging for Impossible products in the US (available on google images) includes preparation instructions stating, “fully cooked when interior is 160°F” (71°C). The same instructions would be appropriate to include on packaging if the products were sold in Australia and New Zealand. The Code requires directions for use if the food must be used or stored in accordance with certain directions for health or safety reasons (</w:t>
            </w:r>
            <w:r w:rsidR="00475844">
              <w:rPr>
                <w:sz w:val="20"/>
                <w:szCs w:val="22"/>
              </w:rPr>
              <w:t>sub</w:t>
            </w:r>
            <w:r w:rsidRPr="009238E5">
              <w:rPr>
                <w:sz w:val="20"/>
                <w:szCs w:val="22"/>
              </w:rPr>
              <w:t xml:space="preserve">section 1.2.6—2(b) of Standard 1.2.6 </w:t>
            </w:r>
            <w:r w:rsidRPr="009238E5">
              <w:rPr>
                <w:i/>
                <w:sz w:val="20"/>
                <w:szCs w:val="22"/>
              </w:rPr>
              <w:t>Information requirements – directions for use and storage</w:t>
            </w:r>
            <w:r w:rsidRPr="009238E5">
              <w:rPr>
                <w:sz w:val="20"/>
                <w:szCs w:val="22"/>
              </w:rPr>
              <w:t>).</w:t>
            </w:r>
            <w:r w:rsidR="0000736F" w:rsidRPr="009238E5">
              <w:rPr>
                <w:sz w:val="20"/>
                <w:szCs w:val="22"/>
              </w:rPr>
              <w:t xml:space="preserve"> Furthermore, instructions will be provided to caterers and quick-service restaurants on safe handlin</w:t>
            </w:r>
            <w:r w:rsidR="00E1362C">
              <w:rPr>
                <w:sz w:val="20"/>
                <w:szCs w:val="22"/>
              </w:rPr>
              <w:t>g and preparation of Impossible</w:t>
            </w:r>
            <w:r w:rsidR="0000736F" w:rsidRPr="009238E5">
              <w:rPr>
                <w:sz w:val="20"/>
                <w:szCs w:val="22"/>
              </w:rPr>
              <w:t xml:space="preserve"> products.</w:t>
            </w:r>
          </w:p>
          <w:p w14:paraId="5BB55F4E" w14:textId="77777777" w:rsidR="00E643BC" w:rsidRPr="009238E5" w:rsidRDefault="00E643BC" w:rsidP="00E643BC">
            <w:pPr>
              <w:pStyle w:val="Default"/>
              <w:cnfStyle w:val="000000100000" w:firstRow="0" w:lastRow="0" w:firstColumn="0" w:lastColumn="0" w:oddVBand="0" w:evenVBand="0" w:oddHBand="1" w:evenHBand="0" w:firstRowFirstColumn="0" w:firstRowLastColumn="0" w:lastRowFirstColumn="0" w:lastRowLastColumn="0"/>
              <w:rPr>
                <w:sz w:val="20"/>
                <w:szCs w:val="22"/>
              </w:rPr>
            </w:pPr>
          </w:p>
          <w:p w14:paraId="64A10E59" w14:textId="0FCF17F9" w:rsidR="00E643BC" w:rsidRPr="009238E5" w:rsidRDefault="00E643BC" w:rsidP="0083347A">
            <w:pPr>
              <w:pStyle w:val="Default"/>
              <w:spacing w:after="240"/>
              <w:cnfStyle w:val="000000100000" w:firstRow="0" w:lastRow="0" w:firstColumn="0" w:lastColumn="0" w:oddVBand="0" w:evenVBand="0" w:oddHBand="1" w:evenHBand="0" w:firstRowFirstColumn="0" w:firstRowLastColumn="0" w:lastRowFirstColumn="0" w:lastRowLastColumn="0"/>
              <w:rPr>
                <w:sz w:val="20"/>
                <w:szCs w:val="22"/>
              </w:rPr>
            </w:pPr>
            <w:r w:rsidRPr="009238E5">
              <w:rPr>
                <w:sz w:val="20"/>
                <w:szCs w:val="22"/>
              </w:rPr>
              <w:t xml:space="preserve">FSANZ </w:t>
            </w:r>
            <w:r w:rsidR="0000736F" w:rsidRPr="009238E5">
              <w:rPr>
                <w:sz w:val="20"/>
                <w:szCs w:val="22"/>
              </w:rPr>
              <w:t>has considered data and information on the applicant’s food safety</w:t>
            </w:r>
            <w:r w:rsidRPr="009238E5">
              <w:rPr>
                <w:sz w:val="20"/>
                <w:szCs w:val="22"/>
              </w:rPr>
              <w:t xml:space="preserve"> assessment </w:t>
            </w:r>
            <w:r w:rsidR="0000736F" w:rsidRPr="009238E5">
              <w:rPr>
                <w:sz w:val="20"/>
                <w:szCs w:val="22"/>
              </w:rPr>
              <w:t>that involved</w:t>
            </w:r>
            <w:r w:rsidRPr="009238E5">
              <w:rPr>
                <w:sz w:val="20"/>
                <w:szCs w:val="22"/>
              </w:rPr>
              <w:t xml:space="preserve"> </w:t>
            </w:r>
            <w:r w:rsidR="0000736F" w:rsidRPr="009238E5">
              <w:rPr>
                <w:sz w:val="20"/>
                <w:szCs w:val="22"/>
              </w:rPr>
              <w:t xml:space="preserve">testing </w:t>
            </w:r>
            <w:r w:rsidRPr="009238E5">
              <w:rPr>
                <w:sz w:val="20"/>
                <w:szCs w:val="22"/>
              </w:rPr>
              <w:t xml:space="preserve">thawing, storage and cooking conditions </w:t>
            </w:r>
            <w:r w:rsidR="0000736F" w:rsidRPr="009238E5">
              <w:rPr>
                <w:sz w:val="20"/>
                <w:szCs w:val="22"/>
              </w:rPr>
              <w:t>of Impossible products. No</w:t>
            </w:r>
            <w:r w:rsidRPr="009238E5">
              <w:rPr>
                <w:sz w:val="20"/>
                <w:szCs w:val="22"/>
              </w:rPr>
              <w:t xml:space="preserve"> </w:t>
            </w:r>
            <w:r w:rsidR="0000736F" w:rsidRPr="009238E5">
              <w:rPr>
                <w:sz w:val="20"/>
                <w:szCs w:val="22"/>
              </w:rPr>
              <w:t xml:space="preserve">observable </w:t>
            </w:r>
            <w:r w:rsidRPr="009238E5">
              <w:rPr>
                <w:sz w:val="20"/>
                <w:szCs w:val="22"/>
              </w:rPr>
              <w:t>food safety concerns</w:t>
            </w:r>
            <w:r w:rsidR="0000736F" w:rsidRPr="009238E5">
              <w:rPr>
                <w:sz w:val="20"/>
                <w:szCs w:val="22"/>
              </w:rPr>
              <w:t xml:space="preserve"> have been identified</w:t>
            </w:r>
            <w:r w:rsidRPr="009238E5">
              <w:rPr>
                <w:sz w:val="20"/>
                <w:szCs w:val="22"/>
              </w:rPr>
              <w:t>.</w:t>
            </w:r>
            <w:r w:rsidRPr="009238E5">
              <w:rPr>
                <w:sz w:val="20"/>
              </w:rPr>
              <w:t xml:space="preserve"> </w:t>
            </w:r>
          </w:p>
        </w:tc>
      </w:tr>
      <w:tr w:rsidR="000D43C5" w:rsidRPr="00BA2E47" w14:paraId="0D6117AC" w14:textId="77777777" w:rsidTr="0083347A">
        <w:trPr>
          <w:cantSplit/>
        </w:trPr>
        <w:tc>
          <w:tcPr>
            <w:cnfStyle w:val="001000000000" w:firstRow="0" w:lastRow="0" w:firstColumn="1" w:lastColumn="0" w:oddVBand="0" w:evenVBand="0" w:oddHBand="0" w:evenHBand="0" w:firstRowFirstColumn="0" w:firstRowLastColumn="0" w:lastRowFirstColumn="0" w:lastRowLastColumn="0"/>
            <w:tcW w:w="145" w:type="pct"/>
            <w:vAlign w:val="center"/>
          </w:tcPr>
          <w:p w14:paraId="75CAED00" w14:textId="77777777" w:rsidR="000D43C5" w:rsidRPr="00E175AB" w:rsidRDefault="000D43C5" w:rsidP="00241786">
            <w:pPr>
              <w:pStyle w:val="ListParagraph"/>
              <w:numPr>
                <w:ilvl w:val="0"/>
                <w:numId w:val="24"/>
              </w:numPr>
              <w:ind w:left="8" w:right="-71" w:firstLine="2"/>
              <w:jc w:val="right"/>
              <w:rPr>
                <w:rFonts w:cs="Arial"/>
                <w:sz w:val="20"/>
                <w:szCs w:val="20"/>
              </w:rPr>
            </w:pPr>
          </w:p>
        </w:tc>
        <w:tc>
          <w:tcPr>
            <w:tcW w:w="1558" w:type="pct"/>
          </w:tcPr>
          <w:p w14:paraId="04F31709" w14:textId="17B5C071" w:rsidR="000D43C5" w:rsidRPr="00202C23" w:rsidRDefault="000D43C5" w:rsidP="00E25FF2">
            <w:pPr>
              <w:widowControl/>
              <w:cnfStyle w:val="000000000000" w:firstRow="0" w:lastRow="0" w:firstColumn="0" w:lastColumn="0" w:oddVBand="0" w:evenVBand="0" w:oddHBand="0" w:evenHBand="0" w:firstRowFirstColumn="0" w:firstRowLastColumn="0" w:lastRowFirstColumn="0" w:lastRowLastColumn="0"/>
              <w:rPr>
                <w:sz w:val="20"/>
              </w:rPr>
            </w:pPr>
            <w:r w:rsidRPr="0026717A">
              <w:rPr>
                <w:sz w:val="20"/>
              </w:rPr>
              <w:t>The scope of the cost benefit is too narrow (only on the soy leghemoglobin and not the applicant’s final meat analogue product)</w:t>
            </w:r>
          </w:p>
        </w:tc>
        <w:tc>
          <w:tcPr>
            <w:tcW w:w="779" w:type="pct"/>
          </w:tcPr>
          <w:p w14:paraId="7CC75576" w14:textId="77777777" w:rsidR="000D43C5" w:rsidRPr="009238E5" w:rsidRDefault="000D43C5" w:rsidP="00241786">
            <w:pPr>
              <w:cnfStyle w:val="000000000000" w:firstRow="0" w:lastRow="0" w:firstColumn="0" w:lastColumn="0" w:oddVBand="0" w:evenVBand="0" w:oddHBand="0" w:evenHBand="0" w:firstRowFirstColumn="0" w:firstRowLastColumn="0" w:lastRowFirstColumn="0" w:lastRowLastColumn="0"/>
              <w:rPr>
                <w:sz w:val="20"/>
              </w:rPr>
            </w:pPr>
          </w:p>
        </w:tc>
        <w:tc>
          <w:tcPr>
            <w:tcW w:w="2519" w:type="pct"/>
          </w:tcPr>
          <w:p w14:paraId="06267B9E" w14:textId="26EA4EB6" w:rsidR="000D43C5" w:rsidRPr="0026717A" w:rsidRDefault="000D43C5" w:rsidP="000D43C5">
            <w:pPr>
              <w:widowControl/>
              <w:cnfStyle w:val="000000000000" w:firstRow="0" w:lastRow="0" w:firstColumn="0" w:lastColumn="0" w:oddVBand="0" w:evenVBand="0" w:oddHBand="0" w:evenHBand="0" w:firstRowFirstColumn="0" w:firstRowLastColumn="0" w:lastRowFirstColumn="0" w:lastRowLastColumn="0"/>
              <w:rPr>
                <w:sz w:val="20"/>
                <w:lang w:bidi="ar-SA"/>
              </w:rPr>
            </w:pPr>
            <w:r w:rsidRPr="0026717A">
              <w:rPr>
                <w:sz w:val="20"/>
              </w:rPr>
              <w:t xml:space="preserve">In the </w:t>
            </w:r>
            <w:r w:rsidRPr="0026717A">
              <w:rPr>
                <w:sz w:val="20"/>
                <w:lang w:bidi="ar-SA"/>
              </w:rPr>
              <w:t>1</w:t>
            </w:r>
            <w:r w:rsidRPr="0026717A">
              <w:rPr>
                <w:sz w:val="20"/>
                <w:vertAlign w:val="superscript"/>
                <w:lang w:bidi="ar-SA"/>
              </w:rPr>
              <w:t>st</w:t>
            </w:r>
            <w:r w:rsidRPr="0026717A">
              <w:rPr>
                <w:sz w:val="20"/>
                <w:lang w:bidi="ar-SA"/>
              </w:rPr>
              <w:t xml:space="preserve"> CFS report, </w:t>
            </w:r>
            <w:r w:rsidRPr="0026717A">
              <w:rPr>
                <w:sz w:val="20"/>
              </w:rPr>
              <w:t xml:space="preserve">Section 5.1.1 </w:t>
            </w:r>
            <w:r w:rsidRPr="0026717A">
              <w:rPr>
                <w:i/>
                <w:sz w:val="20"/>
                <w:lang w:bidi="ar-SA"/>
              </w:rPr>
              <w:t>Consideration of costs and benefits</w:t>
            </w:r>
            <w:r w:rsidRPr="0026717A">
              <w:rPr>
                <w:sz w:val="20"/>
                <w:lang w:bidi="ar-SA"/>
              </w:rPr>
              <w:t xml:space="preserve"> did consider costs and benefits of permitting soy leghemoglobin in the applicant’s meat analogue products for sale, in addition to soy leghemoglobin as an ingredient.</w:t>
            </w:r>
          </w:p>
        </w:tc>
      </w:tr>
    </w:tbl>
    <w:p w14:paraId="1EAD57A1" w14:textId="77777777" w:rsidR="00E175AB" w:rsidRPr="002D464B" w:rsidRDefault="00E175AB" w:rsidP="00D3171B"/>
    <w:p w14:paraId="7A8EB8F6" w14:textId="163E8468" w:rsidR="00F76C03" w:rsidRPr="002D464B" w:rsidRDefault="00F76C03" w:rsidP="00D3171B"/>
    <w:p w14:paraId="360E23FF" w14:textId="7D35EA4D" w:rsidR="00F76C03" w:rsidRPr="002D464B" w:rsidRDefault="00F76C03">
      <w:pPr>
        <w:widowControl/>
      </w:pPr>
    </w:p>
    <w:p w14:paraId="186A80B7" w14:textId="77777777" w:rsidR="0021363F" w:rsidRPr="002D464B" w:rsidRDefault="0021363F">
      <w:pPr>
        <w:widowControl/>
        <w:sectPr w:rsidR="0021363F" w:rsidRPr="002D464B" w:rsidSect="005F6A0F">
          <w:pgSz w:w="16838" w:h="11906" w:orient="landscape" w:code="9"/>
          <w:pgMar w:top="1418" w:right="1418" w:bottom="1418" w:left="1134" w:header="709" w:footer="709" w:gutter="0"/>
          <w:cols w:space="708"/>
          <w:docGrid w:linePitch="360"/>
        </w:sectPr>
      </w:pPr>
    </w:p>
    <w:p w14:paraId="4179FE50" w14:textId="77777777" w:rsidR="004F69F6" w:rsidRPr="00932F14" w:rsidRDefault="00D3171B" w:rsidP="004646F8">
      <w:pPr>
        <w:pStyle w:val="Heading2"/>
      </w:pPr>
      <w:bookmarkStart w:id="69" w:name="_Toc41576652"/>
      <w:bookmarkStart w:id="70" w:name="_Toc42875215"/>
      <w:bookmarkStart w:id="71" w:name="_Toc43128120"/>
      <w:r>
        <w:lastRenderedPageBreak/>
        <w:t>2</w:t>
      </w:r>
      <w:r w:rsidR="00271F00">
        <w:t>.</w:t>
      </w:r>
      <w:r>
        <w:t>2</w:t>
      </w:r>
      <w:r w:rsidR="00271F00">
        <w:tab/>
      </w:r>
      <w:r w:rsidR="004F69F6" w:rsidRPr="00932F14">
        <w:t xml:space="preserve">Risk </w:t>
      </w:r>
      <w:r w:rsidR="00741EFE">
        <w:t>a</w:t>
      </w:r>
      <w:r w:rsidR="004F69F6" w:rsidRPr="00932F14">
        <w:t>ssessment</w:t>
      </w:r>
      <w:bookmarkEnd w:id="64"/>
      <w:bookmarkEnd w:id="65"/>
      <w:bookmarkEnd w:id="69"/>
      <w:bookmarkEnd w:id="70"/>
      <w:bookmarkEnd w:id="71"/>
      <w:r w:rsidR="004F69F6" w:rsidRPr="00932F14">
        <w:t xml:space="preserve"> </w:t>
      </w:r>
      <w:bookmarkEnd w:id="66"/>
      <w:bookmarkEnd w:id="67"/>
    </w:p>
    <w:p w14:paraId="26164698" w14:textId="2ABC1B4A" w:rsidR="00AE521F" w:rsidRDefault="00C14CBA" w:rsidP="00AE521F">
      <w:pPr>
        <w:widowControl/>
        <w:rPr>
          <w:color w:val="000000" w:themeColor="text1"/>
        </w:rPr>
      </w:pPr>
      <w:bookmarkStart w:id="72" w:name="_Toc175381442"/>
      <w:bookmarkStart w:id="73" w:name="_Toc286391010"/>
      <w:bookmarkStart w:id="74" w:name="_Toc300933426"/>
      <w:r w:rsidRPr="00B012C9">
        <w:rPr>
          <w:color w:val="000000" w:themeColor="text1"/>
        </w:rPr>
        <w:t xml:space="preserve">FSANZ conducted a comprehensive assessment </w:t>
      </w:r>
      <w:r w:rsidR="0026717A">
        <w:rPr>
          <w:color w:val="000000" w:themeColor="text1"/>
        </w:rPr>
        <w:t>consistent with</w:t>
      </w:r>
      <w:r w:rsidR="0026717A" w:rsidRPr="00B012C9">
        <w:rPr>
          <w:color w:val="000000" w:themeColor="text1"/>
        </w:rPr>
        <w:t xml:space="preserve"> </w:t>
      </w:r>
      <w:r w:rsidRPr="00B012C9">
        <w:rPr>
          <w:color w:val="000000" w:themeColor="text1"/>
        </w:rPr>
        <w:t xml:space="preserve">the internationally recognised risk analysis framework based on </w:t>
      </w:r>
      <w:r>
        <w:rPr>
          <w:color w:val="000000" w:themeColor="text1"/>
        </w:rPr>
        <w:t>a weight of evidence approach, combining information and scientific evidence provided by the applicant with independent sources</w:t>
      </w:r>
      <w:r w:rsidR="00995ABA">
        <w:t xml:space="preserve"> (see SD1 – </w:t>
      </w:r>
      <w:r w:rsidR="0083347A">
        <w:t>Risk</w:t>
      </w:r>
      <w:r w:rsidR="00995ABA">
        <w:t xml:space="preserve"> and technical assessment report)</w:t>
      </w:r>
      <w:r>
        <w:rPr>
          <w:color w:val="000000" w:themeColor="text1"/>
        </w:rPr>
        <w:t>.</w:t>
      </w:r>
      <w:r w:rsidR="00AE521F">
        <w:rPr>
          <w:color w:val="000000" w:themeColor="text1"/>
        </w:rPr>
        <w:t xml:space="preserve"> </w:t>
      </w:r>
    </w:p>
    <w:p w14:paraId="00AB561B" w14:textId="2D80781C" w:rsidR="00802199" w:rsidRDefault="00802199" w:rsidP="006A3FAB">
      <w:pPr>
        <w:pStyle w:val="Heading3"/>
      </w:pPr>
      <w:r w:rsidRPr="006A3FAB">
        <w:t>2.2.1</w:t>
      </w:r>
      <w:r w:rsidRPr="006A3FAB">
        <w:tab/>
        <w:t>Safety assessment</w:t>
      </w:r>
    </w:p>
    <w:p w14:paraId="348C8DFC" w14:textId="77777777" w:rsidR="00802199" w:rsidRPr="009F6454" w:rsidRDefault="00802199" w:rsidP="006A3FAB">
      <w:pPr>
        <w:widowControl/>
        <w:tabs>
          <w:tab w:val="left" w:pos="851"/>
        </w:tabs>
        <w:rPr>
          <w:b/>
          <w:color w:val="000000" w:themeColor="text1"/>
        </w:rPr>
      </w:pPr>
    </w:p>
    <w:p w14:paraId="5A6BD153" w14:textId="659CD653" w:rsidR="00C14CBA" w:rsidRDefault="00AE521F" w:rsidP="00AE521F">
      <w:pPr>
        <w:widowControl/>
        <w:rPr>
          <w:color w:val="000000" w:themeColor="text1"/>
        </w:rPr>
      </w:pPr>
      <w:r w:rsidRPr="007378C0">
        <w:rPr>
          <w:color w:val="000000" w:themeColor="text1"/>
        </w:rPr>
        <w:t xml:space="preserve">The toxicological assessment was conducted </w:t>
      </w:r>
      <w:r w:rsidR="0026717A">
        <w:rPr>
          <w:color w:val="000000" w:themeColor="text1"/>
        </w:rPr>
        <w:t>consistent with</w:t>
      </w:r>
      <w:r w:rsidR="0026717A" w:rsidRPr="007378C0">
        <w:rPr>
          <w:color w:val="000000" w:themeColor="text1"/>
        </w:rPr>
        <w:t xml:space="preserve"> </w:t>
      </w:r>
      <w:r w:rsidRPr="007378C0">
        <w:rPr>
          <w:color w:val="000000" w:themeColor="text1"/>
        </w:rPr>
        <w:t>internationally agreed practices and processes set out in the International Programme on Chemical Safety’s Principles and Methods for the Risk A</w:t>
      </w:r>
      <w:r w:rsidR="0026285E">
        <w:rPr>
          <w:color w:val="000000" w:themeColor="text1"/>
        </w:rPr>
        <w:t>ssessment of Chemicals in Food (FAO/WHO 2009</w:t>
      </w:r>
      <w:r w:rsidRPr="007378C0">
        <w:rPr>
          <w:color w:val="000000" w:themeColor="text1"/>
        </w:rPr>
        <w:t>). This guidance establishes common practices for food regulators and is applied by the pre-eminent FAO/WHO food toxicology committees including the Joint</w:t>
      </w:r>
      <w:r w:rsidR="004C6A1E">
        <w:rPr>
          <w:color w:val="000000" w:themeColor="text1"/>
        </w:rPr>
        <w:t xml:space="preserve"> FAO/WHO</w:t>
      </w:r>
      <w:r w:rsidRPr="007378C0">
        <w:rPr>
          <w:color w:val="000000" w:themeColor="text1"/>
        </w:rPr>
        <w:t xml:space="preserve"> Expert Committee </w:t>
      </w:r>
      <w:r w:rsidR="004C6A1E">
        <w:rPr>
          <w:color w:val="000000" w:themeColor="text1"/>
        </w:rPr>
        <w:t>on</w:t>
      </w:r>
      <w:r w:rsidRPr="007378C0">
        <w:rPr>
          <w:color w:val="000000" w:themeColor="text1"/>
        </w:rPr>
        <w:t xml:space="preserve"> Food Additives a</w:t>
      </w:r>
      <w:r w:rsidR="004C6A1E">
        <w:rPr>
          <w:color w:val="000000" w:themeColor="text1"/>
        </w:rPr>
        <w:t>nd Joint FAO/WHO Meeting on Pesticide R</w:t>
      </w:r>
      <w:r w:rsidRPr="007378C0">
        <w:rPr>
          <w:color w:val="000000" w:themeColor="text1"/>
        </w:rPr>
        <w:t>esidues.</w:t>
      </w:r>
      <w:r w:rsidR="000211EE">
        <w:rPr>
          <w:color w:val="000000" w:themeColor="text1"/>
        </w:rPr>
        <w:t xml:space="preserve"> Similarly, the safety assessment of the food produced by gene technology was undertaken according to the internationally agreed GM food safety guidelines established by </w:t>
      </w:r>
      <w:r w:rsidR="00320EFF">
        <w:rPr>
          <w:color w:val="000000" w:themeColor="text1"/>
        </w:rPr>
        <w:t xml:space="preserve">FAO/WHO </w:t>
      </w:r>
      <w:r w:rsidR="000211EE">
        <w:rPr>
          <w:color w:val="000000" w:themeColor="text1"/>
        </w:rPr>
        <w:t xml:space="preserve">Codex (Codex 2009). </w:t>
      </w:r>
    </w:p>
    <w:p w14:paraId="754A47EC" w14:textId="77777777" w:rsidR="00C14CBA" w:rsidRDefault="00C14CBA" w:rsidP="00C14CBA">
      <w:pPr>
        <w:widowControl/>
      </w:pPr>
    </w:p>
    <w:p w14:paraId="3DB622B8" w14:textId="66548D50" w:rsidR="00C14CBA" w:rsidRPr="00CF1F1E" w:rsidRDefault="00C14CBA" w:rsidP="00C14CBA">
      <w:pPr>
        <w:rPr>
          <w:color w:val="000000" w:themeColor="text1"/>
        </w:rPr>
      </w:pPr>
      <w:r>
        <w:t xml:space="preserve">In conducting the risk assessment of the soy leghemoglobin and the LegH Prep, a number of criteria have been addressed, including the safety of the </w:t>
      </w:r>
      <w:r w:rsidRPr="00912F00">
        <w:rPr>
          <w:i/>
        </w:rPr>
        <w:t>P. pastoris</w:t>
      </w:r>
      <w:r>
        <w:t xml:space="preserve"> host strain, novel proteins, toxicity of the LegH Prep and a nutritional and dietary intake assessment.</w:t>
      </w:r>
      <w:r>
        <w:rPr>
          <w:color w:val="000000" w:themeColor="text1"/>
        </w:rPr>
        <w:t xml:space="preserve"> </w:t>
      </w:r>
      <w:r>
        <w:t>The safety assessment of the source organism and novel proteins concluded there were no public health and safety concerns. The source organism is a well characterised yeast with a recognised safe history of use for the production of food enzymes. It is ne</w:t>
      </w:r>
      <w:r w:rsidR="0074279F">
        <w:t>ither pathogenic nor toxigenic.</w:t>
      </w:r>
    </w:p>
    <w:p w14:paraId="0F5EBB99" w14:textId="77777777" w:rsidR="00C14CBA" w:rsidRDefault="00C14CBA" w:rsidP="00C14CBA"/>
    <w:p w14:paraId="404F8C63" w14:textId="77777777" w:rsidR="00C14CBA" w:rsidRDefault="00C14CBA" w:rsidP="00C14CBA">
      <w:pPr>
        <w:rPr>
          <w:lang w:eastAsia="en-AU" w:bidi="ar-SA"/>
        </w:rPr>
      </w:pPr>
      <w:r>
        <w:t>The novel soy leghemoglobin was shown to be equivalent to that expressed in soybean and was shown to be expressed as a holoprotein. A</w:t>
      </w:r>
      <w:r>
        <w:rPr>
          <w:lang w:eastAsia="en-AU" w:bidi="ar-SA"/>
        </w:rPr>
        <w:t>nalyses of the</w:t>
      </w:r>
      <w:r w:rsidRPr="00C15217">
        <w:rPr>
          <w:lang w:eastAsia="en-AU" w:bidi="ar-SA"/>
        </w:rPr>
        <w:t xml:space="preserve"> potential</w:t>
      </w:r>
      <w:r>
        <w:rPr>
          <w:lang w:eastAsia="en-AU" w:bidi="ar-SA"/>
        </w:rPr>
        <w:t xml:space="preserve"> allergenicity or</w:t>
      </w:r>
      <w:r w:rsidRPr="00C15217">
        <w:rPr>
          <w:lang w:eastAsia="en-AU" w:bidi="ar-SA"/>
        </w:rPr>
        <w:t xml:space="preserve"> t</w:t>
      </w:r>
      <w:r>
        <w:rPr>
          <w:lang w:eastAsia="en-AU" w:bidi="ar-SA"/>
        </w:rPr>
        <w:t xml:space="preserve">oxicity of all the novel proteins, including soy leghemoglobin and the </w:t>
      </w:r>
      <w:r w:rsidRPr="00F25F99">
        <w:rPr>
          <w:i/>
          <w:lang w:eastAsia="en-AU" w:bidi="ar-SA"/>
        </w:rPr>
        <w:t>Pichia</w:t>
      </w:r>
      <w:r>
        <w:rPr>
          <w:lang w:eastAsia="en-AU" w:bidi="ar-SA"/>
        </w:rPr>
        <w:t xml:space="preserve"> proteins, did not identify any significant similarities to known allergens or toxins. The proteins were shown to be susceptible to pepsin digestion and were denatured at standard cooking temperatures and in acidic conditions that mimic the stomach environment. The shelf life and specifications of the LegH Prep are also appropriate for addition to meat analogue products.</w:t>
      </w:r>
    </w:p>
    <w:p w14:paraId="46C98775" w14:textId="77777777" w:rsidR="00C14CBA" w:rsidRDefault="00C14CBA" w:rsidP="00C14CBA">
      <w:pPr>
        <w:rPr>
          <w:lang w:eastAsia="en-AU" w:bidi="ar-SA"/>
        </w:rPr>
      </w:pPr>
    </w:p>
    <w:p w14:paraId="3C5E7702" w14:textId="0E72D263" w:rsidR="00C14CBA" w:rsidRDefault="00C14CBA" w:rsidP="00C14CBA">
      <w:pPr>
        <w:widowControl/>
        <w:rPr>
          <w:rFonts w:eastAsia="Calibri"/>
          <w:szCs w:val="22"/>
          <w:lang w:bidi="ar-SA"/>
        </w:rPr>
      </w:pPr>
      <w:r>
        <w:rPr>
          <w:lang w:eastAsia="en-AU" w:bidi="ar-SA"/>
        </w:rPr>
        <w:t xml:space="preserve">The </w:t>
      </w:r>
      <w:r w:rsidR="00711AE9">
        <w:rPr>
          <w:lang w:eastAsia="en-AU" w:bidi="ar-SA"/>
        </w:rPr>
        <w:t xml:space="preserve">applicant </w:t>
      </w:r>
      <w:r>
        <w:rPr>
          <w:lang w:eastAsia="en-AU" w:bidi="ar-SA"/>
        </w:rPr>
        <w:t xml:space="preserve">submitted </w:t>
      </w:r>
      <w:r w:rsidRPr="008B77F9">
        <w:rPr>
          <w:i/>
          <w:lang w:eastAsia="en-AU" w:bidi="ar-SA"/>
        </w:rPr>
        <w:t>in vitro</w:t>
      </w:r>
      <w:r>
        <w:rPr>
          <w:lang w:eastAsia="en-AU" w:bidi="ar-SA"/>
        </w:rPr>
        <w:t xml:space="preserve"> genotoxicity studies in bacterial and mammalian cells and an oral toxicity study in rats. These studies are intended to confirm the outcome of the compositional and bioinformatic analysis conducted as a part of the safety assessment. </w:t>
      </w:r>
      <w:r w:rsidRPr="001D7A3F">
        <w:rPr>
          <w:lang w:eastAsia="en-AU" w:bidi="ar-SA"/>
        </w:rPr>
        <w:t xml:space="preserve">No hazard was identified in the submitted studies. </w:t>
      </w:r>
      <w:r w:rsidRPr="000F7F69">
        <w:rPr>
          <w:rFonts w:eastAsia="Calibri"/>
          <w:szCs w:val="22"/>
          <w:lang w:bidi="ar-SA"/>
        </w:rPr>
        <w:t xml:space="preserve">LegH Prep was not genotoxic </w:t>
      </w:r>
      <w:r w:rsidRPr="008B77F9">
        <w:rPr>
          <w:rFonts w:eastAsia="Calibri"/>
          <w:i/>
          <w:lang w:eastAsia="en-AU" w:bidi="ar-SA"/>
        </w:rPr>
        <w:t>in vitro</w:t>
      </w:r>
      <w:r w:rsidRPr="000F7F69">
        <w:rPr>
          <w:rFonts w:eastAsia="Calibri"/>
          <w:szCs w:val="22"/>
          <w:lang w:bidi="ar-SA"/>
        </w:rPr>
        <w:t xml:space="preserve"> and did not cause adverse effects in short-term toxicity studies in rats. The NOAEL of freeze-dried LegH Prep in a 28-day dietary toxicity study in rats was 1536 mg/kg bw/day, the highest dose tested. This dose corresponds to 1421 mg/kg bw/day </w:t>
      </w:r>
      <w:r w:rsidR="00B11C3A">
        <w:rPr>
          <w:rFonts w:eastAsia="Calibri"/>
          <w:szCs w:val="22"/>
          <w:lang w:bidi="ar-SA"/>
        </w:rPr>
        <w:t>total organic solids (</w:t>
      </w:r>
      <w:r w:rsidRPr="000F7F69">
        <w:rPr>
          <w:rFonts w:eastAsia="Calibri"/>
          <w:szCs w:val="22"/>
          <w:lang w:bidi="ar-SA"/>
        </w:rPr>
        <w:t>TOS</w:t>
      </w:r>
      <w:r w:rsidR="00B11C3A">
        <w:rPr>
          <w:rFonts w:eastAsia="Calibri"/>
          <w:szCs w:val="22"/>
          <w:lang w:bidi="ar-SA"/>
        </w:rPr>
        <w:t>)</w:t>
      </w:r>
      <w:r w:rsidR="0074279F">
        <w:rPr>
          <w:rFonts w:eastAsia="Calibri"/>
          <w:szCs w:val="22"/>
          <w:lang w:bidi="ar-SA"/>
        </w:rPr>
        <w:t>.</w:t>
      </w:r>
    </w:p>
    <w:p w14:paraId="0F0869F6" w14:textId="77777777" w:rsidR="00C14CBA" w:rsidRDefault="00C14CBA" w:rsidP="00C14CBA">
      <w:pPr>
        <w:rPr>
          <w:rFonts w:eastAsia="Calibri"/>
          <w:szCs w:val="22"/>
          <w:lang w:bidi="ar-SA"/>
        </w:rPr>
      </w:pPr>
    </w:p>
    <w:p w14:paraId="50D5BADD" w14:textId="097C5954" w:rsidR="00C14CBA" w:rsidRPr="005F7957" w:rsidRDefault="00C14CBA" w:rsidP="00C14CBA">
      <w:pPr>
        <w:rPr>
          <w:rFonts w:eastAsia="Calibri"/>
          <w:lang w:eastAsia="en-AU" w:bidi="ar-SA"/>
        </w:rPr>
      </w:pPr>
      <w:r w:rsidRPr="000F7F69">
        <w:rPr>
          <w:rFonts w:eastAsia="Calibri"/>
          <w:szCs w:val="22"/>
          <w:lang w:bidi="ar-SA"/>
        </w:rPr>
        <w:t xml:space="preserve">Mean and P90 estimated dietary intakes of LegH Prep at the maximum proposed use level were 20 – 60 mg/kg bw/day TOS and 45 – 124 mg/kg bw/day TOS, respectively. Mean and P90 estimated dietary intakes of LegH Prep at the likely use level were 11 – 32 mg/kg bw/day TOS and 24 – 68 mg/kg bw/day TOS, respectively. </w:t>
      </w:r>
      <w:r w:rsidRPr="00E9534C">
        <w:rPr>
          <w:rFonts w:eastAsia="Calibri"/>
          <w:szCs w:val="22"/>
          <w:lang w:bidi="ar-SA"/>
        </w:rPr>
        <w:t xml:space="preserve">The estimated intakes of LegH </w:t>
      </w:r>
      <w:r>
        <w:rPr>
          <w:rFonts w:eastAsia="Calibri"/>
          <w:szCs w:val="22"/>
          <w:lang w:bidi="ar-SA"/>
        </w:rPr>
        <w:t>P</w:t>
      </w:r>
      <w:r w:rsidRPr="00E9534C">
        <w:rPr>
          <w:rFonts w:eastAsia="Calibri"/>
          <w:szCs w:val="22"/>
          <w:lang w:bidi="ar-SA"/>
        </w:rPr>
        <w:t xml:space="preserve">rep for both scenarios are considered to be conservative </w:t>
      </w:r>
      <w:r w:rsidR="009A5C29">
        <w:rPr>
          <w:rFonts w:eastAsia="Calibri"/>
          <w:szCs w:val="22"/>
          <w:lang w:bidi="ar-SA"/>
        </w:rPr>
        <w:t xml:space="preserve">and over-estimate exposure </w:t>
      </w:r>
      <w:r w:rsidRPr="00E9534C">
        <w:rPr>
          <w:rFonts w:eastAsia="Calibri"/>
          <w:szCs w:val="22"/>
          <w:lang w:bidi="ar-SA"/>
        </w:rPr>
        <w:t>as it is unlikely that consumers will eat meat analogue products containing soy leghemoglobin in the same amounts</w:t>
      </w:r>
      <w:r>
        <w:rPr>
          <w:rFonts w:eastAsia="Calibri"/>
          <w:szCs w:val="22"/>
          <w:lang w:bidi="ar-SA"/>
        </w:rPr>
        <w:t xml:space="preserve"> or with the same frequency</w:t>
      </w:r>
      <w:r w:rsidRPr="00E9534C">
        <w:rPr>
          <w:rFonts w:eastAsia="Calibri"/>
          <w:szCs w:val="22"/>
          <w:lang w:bidi="ar-SA"/>
        </w:rPr>
        <w:t xml:space="preserve"> </w:t>
      </w:r>
      <w:r w:rsidR="001B53E5">
        <w:rPr>
          <w:rFonts w:eastAsia="Calibri"/>
          <w:szCs w:val="22"/>
          <w:lang w:bidi="ar-SA"/>
        </w:rPr>
        <w:t xml:space="preserve">as </w:t>
      </w:r>
      <w:r w:rsidRPr="00E9534C">
        <w:rPr>
          <w:rFonts w:eastAsia="Calibri"/>
          <w:szCs w:val="22"/>
          <w:lang w:bidi="ar-SA"/>
        </w:rPr>
        <w:t>they currently consume minced meat and poultry products, and vegetarian meat alternatives (particularly over a long period of time).</w:t>
      </w:r>
    </w:p>
    <w:p w14:paraId="326E887A" w14:textId="77777777" w:rsidR="00C14CBA" w:rsidRDefault="00C14CBA" w:rsidP="00C14CBA">
      <w:pPr>
        <w:rPr>
          <w:lang w:eastAsia="en-AU" w:bidi="ar-SA"/>
        </w:rPr>
      </w:pPr>
    </w:p>
    <w:p w14:paraId="3E6B8668" w14:textId="20B1B3DD" w:rsidR="00C14CBA" w:rsidRDefault="00C14CBA" w:rsidP="00F0702F">
      <w:pPr>
        <w:spacing w:after="240"/>
        <w:rPr>
          <w:color w:val="A6A6A6" w:themeColor="background1" w:themeShade="A6"/>
          <w:lang w:eastAsia="en-AU" w:bidi="ar-SA"/>
        </w:rPr>
      </w:pPr>
      <w:r>
        <w:rPr>
          <w:rFonts w:eastAsia="Calibri"/>
          <w:lang w:eastAsia="en-AU" w:bidi="ar-SA"/>
        </w:rPr>
        <w:t xml:space="preserve">The margins of exposure (MOEs) between the NOAEL of </w:t>
      </w:r>
      <w:r w:rsidRPr="001649D0">
        <w:rPr>
          <w:rFonts w:eastAsia="Calibri"/>
          <w:lang w:eastAsia="en-AU" w:bidi="ar-SA"/>
        </w:rPr>
        <w:t>1421 mg/kg bw/day TOS</w:t>
      </w:r>
      <w:r>
        <w:rPr>
          <w:rFonts w:eastAsia="Calibri"/>
          <w:lang w:eastAsia="en-AU" w:bidi="ar-SA"/>
        </w:rPr>
        <w:t xml:space="preserve"> in the rat oral toxicity study and estimated dietary exposures at the maximum proposed use level ranged between 20 – 70 for mean exposures and between 10 – 30 at the 90</w:t>
      </w:r>
      <w:r w:rsidRPr="00C25CFE">
        <w:rPr>
          <w:rFonts w:eastAsia="Calibri"/>
          <w:vertAlign w:val="superscript"/>
          <w:lang w:eastAsia="en-AU" w:bidi="ar-SA"/>
        </w:rPr>
        <w:t>th</w:t>
      </w:r>
      <w:r>
        <w:rPr>
          <w:rFonts w:eastAsia="Calibri"/>
          <w:lang w:eastAsia="en-AU" w:bidi="ar-SA"/>
        </w:rPr>
        <w:t xml:space="preserve"> percentile. At likely use levels, MOEs for mean and P90 estimated dietary intakes ranged between 40 – 130 and 20 – 60, respectively. These MOEs are not considered to be of concern given that</w:t>
      </w:r>
      <w:r w:rsidR="00CE57B6">
        <w:rPr>
          <w:rFonts w:eastAsia="Calibri"/>
          <w:lang w:eastAsia="en-AU" w:bidi="ar-SA"/>
        </w:rPr>
        <w:t>:</w:t>
      </w:r>
      <w:r>
        <w:rPr>
          <w:rFonts w:eastAsia="Calibri"/>
          <w:lang w:eastAsia="en-AU" w:bidi="ar-SA"/>
        </w:rPr>
        <w:t xml:space="preserve"> a sufficient body of knowledge exists on the safety of the organism (it is not pathogenic or toxigenic)</w:t>
      </w:r>
      <w:r w:rsidR="00544B32">
        <w:rPr>
          <w:rFonts w:eastAsia="Calibri"/>
          <w:lang w:eastAsia="en-AU" w:bidi="ar-SA"/>
        </w:rPr>
        <w:t>;</w:t>
      </w:r>
      <w:r>
        <w:rPr>
          <w:rFonts w:eastAsia="Calibri"/>
          <w:lang w:eastAsia="en-AU" w:bidi="ar-SA"/>
        </w:rPr>
        <w:t xml:space="preserve"> the proteins</w:t>
      </w:r>
      <w:r w:rsidR="00544B32">
        <w:rPr>
          <w:rFonts w:eastAsia="Calibri"/>
          <w:lang w:eastAsia="en-AU" w:bidi="ar-SA"/>
        </w:rPr>
        <w:t xml:space="preserve"> in LegH Prep</w:t>
      </w:r>
      <w:r>
        <w:rPr>
          <w:rFonts w:eastAsia="Calibri"/>
          <w:lang w:eastAsia="en-AU" w:bidi="ar-SA"/>
        </w:rPr>
        <w:t xml:space="preserve"> will be digested like other dietary proteins and do not share any significant similarities to known allergens or toxins; and the conservative nature of the dietary exposure assessment which is likely to overestimate intakes over a long period of time. </w:t>
      </w:r>
    </w:p>
    <w:p w14:paraId="1B9661F7" w14:textId="46B717EE" w:rsidR="00802199" w:rsidRPr="00920ACD" w:rsidRDefault="00802199" w:rsidP="00F0702F">
      <w:pPr>
        <w:pStyle w:val="Heading3"/>
        <w:ind w:left="0" w:firstLine="0"/>
        <w:jc w:val="both"/>
      </w:pPr>
      <w:r w:rsidRPr="006A3FAB">
        <w:lastRenderedPageBreak/>
        <w:t>2.2.2</w:t>
      </w:r>
      <w:r w:rsidRPr="006A3FAB">
        <w:tab/>
        <w:t>Nutrition assessment</w:t>
      </w:r>
    </w:p>
    <w:p w14:paraId="3E1009C4" w14:textId="77777777" w:rsidR="00C14CBA" w:rsidRDefault="00C14CBA" w:rsidP="00C14CBA">
      <w:r>
        <w:t xml:space="preserve">The nutrition assessment concluded that haem iron from soy leghemoglobin is likely to have similar bioavailability to haem iron </w:t>
      </w:r>
      <w:r>
        <w:rPr>
          <w:rFonts w:cs="Arial"/>
        </w:rPr>
        <w:t>from mammalian haem proteins (e.g. myoglobin present in muscle tissue)</w:t>
      </w:r>
      <w:r>
        <w:t>. The absence of meat proteins in the proposed meat analogue products may decrease the bioavailability of haem iron from soy leghemoglobin. However, as i</w:t>
      </w:r>
      <w:r w:rsidRPr="00B237C9">
        <w:rPr>
          <w:rFonts w:cs="Arial"/>
        </w:rPr>
        <w:t>ron absorption is regulated</w:t>
      </w:r>
      <w:r>
        <w:rPr>
          <w:rFonts w:cs="Arial"/>
        </w:rPr>
        <w:t xml:space="preserve"> tightly</w:t>
      </w:r>
      <w:r w:rsidRPr="00B237C9">
        <w:rPr>
          <w:rFonts w:cs="Arial"/>
        </w:rPr>
        <w:t xml:space="preserve"> by the body</w:t>
      </w:r>
      <w:r>
        <w:rPr>
          <w:rFonts w:cs="Arial"/>
        </w:rPr>
        <w:t>, and</w:t>
      </w:r>
      <w:r>
        <w:t xml:space="preserve"> meat analogue products have higher total iron content due to higher content of non-haem iron relative to comparison foods, any decrease in haem iron bioavailability should not result in a nutritional disadvantage to consumers in Australia and New Zealand.</w:t>
      </w:r>
    </w:p>
    <w:p w14:paraId="085370B5" w14:textId="77777777" w:rsidR="00C14CBA" w:rsidRDefault="00C14CBA" w:rsidP="00C14CBA">
      <w:pPr>
        <w:tabs>
          <w:tab w:val="left" w:pos="1139"/>
        </w:tabs>
        <w:rPr>
          <w:rFonts w:cs="Arial"/>
        </w:rPr>
      </w:pPr>
    </w:p>
    <w:p w14:paraId="041794B1" w14:textId="0C1337D9" w:rsidR="00C14CBA" w:rsidRDefault="00C14CBA" w:rsidP="00C14CBA">
      <w:pPr>
        <w:rPr>
          <w:rFonts w:cs="Arial"/>
        </w:rPr>
      </w:pPr>
      <w:r w:rsidRPr="00874E96">
        <w:rPr>
          <w:rFonts w:cs="Arial"/>
        </w:rPr>
        <w:t>The estimated intake</w:t>
      </w:r>
      <w:r>
        <w:rPr>
          <w:rFonts w:cs="Arial"/>
        </w:rPr>
        <w:t>s</w:t>
      </w:r>
      <w:r w:rsidRPr="00874E96">
        <w:rPr>
          <w:rFonts w:cs="Arial"/>
        </w:rPr>
        <w:t xml:space="preserve"> of iron (with the additional iron contribution from soy leghemoglobin) for all population age/sex groups assessed for both the Australian and New Zealand populations </w:t>
      </w:r>
      <w:r>
        <w:rPr>
          <w:rFonts w:cs="Arial"/>
        </w:rPr>
        <w:t>are</w:t>
      </w:r>
      <w:r w:rsidRPr="00874E96">
        <w:rPr>
          <w:rFonts w:cs="Arial"/>
        </w:rPr>
        <w:t xml:space="preserve"> below the UL</w:t>
      </w:r>
      <w:r>
        <w:rPr>
          <w:rFonts w:cs="Arial"/>
        </w:rPr>
        <w:t>s</w:t>
      </w:r>
      <w:r w:rsidRPr="00874E96">
        <w:rPr>
          <w:rFonts w:cs="Arial"/>
        </w:rPr>
        <w:t xml:space="preserve"> for iron. The estimated iron intakes in FSANZs assessment, for both the </w:t>
      </w:r>
      <w:r w:rsidRPr="00874E96">
        <w:rPr>
          <w:rFonts w:cs="Arial"/>
          <w:i/>
        </w:rPr>
        <w:t xml:space="preserve">maximum proposed use level </w:t>
      </w:r>
      <w:r w:rsidRPr="00874E96">
        <w:rPr>
          <w:rFonts w:cs="Arial"/>
        </w:rPr>
        <w:t xml:space="preserve">and </w:t>
      </w:r>
      <w:r w:rsidRPr="00874E96">
        <w:rPr>
          <w:rFonts w:cs="Arial"/>
          <w:i/>
        </w:rPr>
        <w:t xml:space="preserve">likely use level </w:t>
      </w:r>
      <w:r w:rsidRPr="00874E96">
        <w:rPr>
          <w:rFonts w:cs="Arial"/>
        </w:rPr>
        <w:t>scenarios, are considered to be conservative and an overestimation of actual iron intakes. It is unlikely that consumption of meat analogue products containing soy leghemoglobin would pose a risk of iron exceedance to the Australian and New Zealand populations, including at levels up to 0.8% soy leghemoglobin</w:t>
      </w:r>
      <w:r>
        <w:rPr>
          <w:rFonts w:cs="Arial"/>
        </w:rPr>
        <w:t>.</w:t>
      </w:r>
    </w:p>
    <w:p w14:paraId="17B001FA" w14:textId="77777777" w:rsidR="00C14CBA" w:rsidRDefault="00C14CBA" w:rsidP="00C14CBA">
      <w:pPr>
        <w:tabs>
          <w:tab w:val="left" w:pos="1139"/>
        </w:tabs>
        <w:rPr>
          <w:lang w:eastAsia="en-AU" w:bidi="ar-SA"/>
        </w:rPr>
      </w:pPr>
    </w:p>
    <w:p w14:paraId="373EE2FF" w14:textId="1C5E46F3" w:rsidR="00C14CBA" w:rsidRDefault="00B550D1" w:rsidP="00C14CBA">
      <w:pPr>
        <w:tabs>
          <w:tab w:val="left" w:pos="1139"/>
        </w:tabs>
        <w:rPr>
          <w:rFonts w:cs="Arial"/>
        </w:rPr>
      </w:pPr>
      <w:r>
        <w:rPr>
          <w:rFonts w:cs="Arial"/>
        </w:rPr>
        <w:t>As of March 2020, the applicant advised they had sold approximately 100,000,000 quarter-pound (113 g) servings of meat analogue products containing soy leghemoglobin. I</w:t>
      </w:r>
      <w:r w:rsidRPr="00C332FC">
        <w:rPr>
          <w:rFonts w:cs="Arial"/>
        </w:rPr>
        <w:t xml:space="preserve">ts post-marketing surveillance </w:t>
      </w:r>
      <w:r>
        <w:rPr>
          <w:rFonts w:cs="Arial"/>
        </w:rPr>
        <w:t xml:space="preserve">has </w:t>
      </w:r>
      <w:r w:rsidRPr="00C332FC">
        <w:rPr>
          <w:rFonts w:cs="Arial"/>
        </w:rPr>
        <w:t xml:space="preserve">identified </w:t>
      </w:r>
      <w:r>
        <w:rPr>
          <w:rFonts w:cs="Arial"/>
        </w:rPr>
        <w:t>one</w:t>
      </w:r>
      <w:r w:rsidRPr="00C332FC">
        <w:rPr>
          <w:rFonts w:cs="Arial"/>
        </w:rPr>
        <w:t xml:space="preserve"> complaint per </w:t>
      </w:r>
      <w:r>
        <w:rPr>
          <w:rFonts w:cs="Arial"/>
        </w:rPr>
        <w:t>6</w:t>
      </w:r>
      <w:r w:rsidRPr="00C332FC">
        <w:rPr>
          <w:rFonts w:cs="Arial"/>
        </w:rPr>
        <w:t xml:space="preserve">00,000 servings </w:t>
      </w:r>
      <w:r>
        <w:rPr>
          <w:rFonts w:cs="Arial"/>
        </w:rPr>
        <w:t>based on the current formulation (released on the market in the US in early 2019), but none of these complaints has been confirmed as an adverse event due to consumption of these products.</w:t>
      </w:r>
    </w:p>
    <w:p w14:paraId="67D4AC6B" w14:textId="77777777" w:rsidR="00B550D1" w:rsidRDefault="00B550D1" w:rsidP="00C14CBA">
      <w:pPr>
        <w:tabs>
          <w:tab w:val="left" w:pos="1139"/>
        </w:tabs>
        <w:rPr>
          <w:lang w:eastAsia="en-AU" w:bidi="ar-SA"/>
        </w:rPr>
      </w:pPr>
    </w:p>
    <w:p w14:paraId="029733D9" w14:textId="456DFCE3" w:rsidR="00C14CBA" w:rsidRPr="002C7CFD" w:rsidRDefault="00C14CBA" w:rsidP="00110041">
      <w:pPr>
        <w:spacing w:after="240"/>
        <w:rPr>
          <w:rFonts w:eastAsia="Calibri"/>
          <w:szCs w:val="22"/>
          <w:lang w:bidi="ar-SA"/>
        </w:rPr>
      </w:pPr>
      <w:r>
        <w:rPr>
          <w:rFonts w:eastAsia="Calibri"/>
          <w:szCs w:val="22"/>
          <w:lang w:bidi="ar-SA"/>
        </w:rPr>
        <w:t xml:space="preserve">In conclusion, the </w:t>
      </w:r>
      <w:r w:rsidRPr="00874E96">
        <w:rPr>
          <w:rFonts w:eastAsia="Calibri"/>
          <w:szCs w:val="22"/>
          <w:lang w:bidi="ar-SA"/>
        </w:rPr>
        <w:t>assessment of</w:t>
      </w:r>
      <w:r>
        <w:rPr>
          <w:rFonts w:eastAsia="Calibri"/>
          <w:szCs w:val="22"/>
          <w:lang w:bidi="ar-SA"/>
        </w:rPr>
        <w:t xml:space="preserve"> soy leghemoglobin and the</w:t>
      </w:r>
      <w:r w:rsidRPr="00874E96">
        <w:rPr>
          <w:rFonts w:eastAsia="Calibri"/>
          <w:szCs w:val="22"/>
          <w:lang w:bidi="ar-SA"/>
        </w:rPr>
        <w:t xml:space="preserve"> LegH Prep </w:t>
      </w:r>
      <w:r w:rsidR="001B53E5">
        <w:rPr>
          <w:rFonts w:eastAsia="Calibri"/>
          <w:szCs w:val="22"/>
          <w:lang w:bidi="ar-SA"/>
        </w:rPr>
        <w:t>raises</w:t>
      </w:r>
      <w:r w:rsidRPr="00874E96">
        <w:rPr>
          <w:rFonts w:eastAsia="Calibri"/>
          <w:szCs w:val="22"/>
          <w:lang w:bidi="ar-SA"/>
        </w:rPr>
        <w:t xml:space="preserve"> no public health and safety concerns associated with its use in meat analogue products at the proposed </w:t>
      </w:r>
      <w:r w:rsidR="001C1BA4">
        <w:rPr>
          <w:rFonts w:eastAsia="Calibri"/>
          <w:szCs w:val="22"/>
          <w:lang w:bidi="ar-SA"/>
        </w:rPr>
        <w:t xml:space="preserve">maximum </w:t>
      </w:r>
      <w:r w:rsidRPr="00874E96">
        <w:rPr>
          <w:rFonts w:eastAsia="Calibri"/>
          <w:szCs w:val="22"/>
          <w:lang w:bidi="ar-SA"/>
        </w:rPr>
        <w:t>level</w:t>
      </w:r>
      <w:r>
        <w:rPr>
          <w:rFonts w:eastAsia="Calibri"/>
          <w:szCs w:val="22"/>
          <w:lang w:bidi="ar-SA"/>
        </w:rPr>
        <w:t xml:space="preserve"> of 0.8% soy leghemoglobin</w:t>
      </w:r>
      <w:r w:rsidRPr="00874E96">
        <w:rPr>
          <w:rFonts w:eastAsia="Calibri"/>
          <w:szCs w:val="22"/>
          <w:lang w:bidi="ar-SA"/>
        </w:rPr>
        <w:t xml:space="preserve">. </w:t>
      </w:r>
    </w:p>
    <w:p w14:paraId="1ED75520" w14:textId="452CE8A4" w:rsidR="004F69F6" w:rsidRPr="00932F14" w:rsidRDefault="0066570D" w:rsidP="00110041">
      <w:pPr>
        <w:pStyle w:val="Heading1"/>
      </w:pPr>
      <w:bookmarkStart w:id="75" w:name="_Toc41576653"/>
      <w:bookmarkStart w:id="76" w:name="_Toc42875216"/>
      <w:bookmarkStart w:id="77" w:name="_Toc43128121"/>
      <w:r>
        <w:t>3</w:t>
      </w:r>
      <w:r w:rsidR="00271F00">
        <w:tab/>
      </w:r>
      <w:bookmarkEnd w:id="72"/>
      <w:bookmarkEnd w:id="73"/>
      <w:bookmarkEnd w:id="74"/>
      <w:r w:rsidR="0045556F">
        <w:t>R</w:t>
      </w:r>
      <w:r w:rsidR="00707E72">
        <w:t>isk m</w:t>
      </w:r>
      <w:r w:rsidR="008A35FB">
        <w:t>anagement</w:t>
      </w:r>
      <w:bookmarkEnd w:id="75"/>
      <w:bookmarkEnd w:id="76"/>
      <w:bookmarkEnd w:id="77"/>
    </w:p>
    <w:p w14:paraId="4676763E" w14:textId="5B5A8B6A" w:rsidR="0066570D" w:rsidRPr="006716FD" w:rsidRDefault="0066570D">
      <w:pPr>
        <w:pStyle w:val="Heading2"/>
        <w:rPr>
          <w:rFonts w:eastAsia="Calibri"/>
        </w:rPr>
      </w:pPr>
      <w:bookmarkStart w:id="78" w:name="_Toc26284647"/>
      <w:bookmarkStart w:id="79" w:name="_Toc26980498"/>
      <w:bookmarkStart w:id="80" w:name="_Toc26980500"/>
      <w:bookmarkStart w:id="81" w:name="_Toc41576654"/>
      <w:bookmarkStart w:id="82" w:name="_Toc42875217"/>
      <w:bookmarkStart w:id="83" w:name="_Toc43128122"/>
      <w:bookmarkStart w:id="84" w:name="_Toc300761910"/>
      <w:bookmarkEnd w:id="78"/>
      <w:bookmarkEnd w:id="79"/>
      <w:r>
        <w:rPr>
          <w:rFonts w:eastAsia="Calibri"/>
        </w:rPr>
        <w:t>3</w:t>
      </w:r>
      <w:r w:rsidRPr="006716FD">
        <w:rPr>
          <w:rFonts w:eastAsia="Calibri"/>
        </w:rPr>
        <w:t>.</w:t>
      </w:r>
      <w:r w:rsidR="001B53E5">
        <w:rPr>
          <w:rFonts w:eastAsia="Calibri"/>
        </w:rPr>
        <w:t>1</w:t>
      </w:r>
      <w:r w:rsidRPr="006716FD">
        <w:rPr>
          <w:rFonts w:eastAsia="Calibri"/>
        </w:rPr>
        <w:tab/>
      </w:r>
      <w:bookmarkEnd w:id="80"/>
      <w:r>
        <w:rPr>
          <w:rFonts w:eastAsia="Calibri"/>
        </w:rPr>
        <w:t>Regulation of soy leghemoglobin in the Code</w:t>
      </w:r>
      <w:bookmarkEnd w:id="81"/>
      <w:bookmarkEnd w:id="82"/>
      <w:bookmarkEnd w:id="83"/>
    </w:p>
    <w:p w14:paraId="40B51BFD" w14:textId="382F05F0" w:rsidR="00F536EE" w:rsidRDefault="00F536EE" w:rsidP="00F536EE">
      <w:r>
        <w:rPr>
          <w:szCs w:val="22"/>
        </w:rPr>
        <w:t>FSANZ assessed soy leghemoglobin in the form of LegH Prep as a</w:t>
      </w:r>
      <w:r>
        <w:t xml:space="preserve"> food produced using gene technology, due to its production method. FSANZ did not assess soy leghemoglobin in form of LegH Prep as a novel food because the GM and nutritive substance permissions more accurately reflect the nature of this ingredient (produced through microbial fermentation of a GM yeast) and</w:t>
      </w:r>
      <w:r w:rsidRPr="0043346A">
        <w:t xml:space="preserve"> the purpose for which it is being added to </w:t>
      </w:r>
      <w:r>
        <w:t>meat analogue products (</w:t>
      </w:r>
      <w:r w:rsidRPr="0043346A">
        <w:t>as a source of iron</w:t>
      </w:r>
      <w:r>
        <w:t>).</w:t>
      </w:r>
    </w:p>
    <w:p w14:paraId="7F038D31" w14:textId="77777777" w:rsidR="00F536EE" w:rsidRDefault="00F536EE" w:rsidP="00F536EE">
      <w:pPr>
        <w:rPr>
          <w:szCs w:val="22"/>
        </w:rPr>
      </w:pPr>
    </w:p>
    <w:p w14:paraId="68800409" w14:textId="16B9CD27" w:rsidR="00E66811" w:rsidRPr="00E66811" w:rsidRDefault="00E66811" w:rsidP="00E66811">
      <w:pPr>
        <w:widowControl/>
      </w:pPr>
      <w:bookmarkStart w:id="85" w:name="_Toc26284648"/>
      <w:bookmarkStart w:id="86" w:name="_Toc26980501"/>
      <w:bookmarkStart w:id="87" w:name="_Toc41576655"/>
      <w:bookmarkStart w:id="88" w:name="_Toc42875218"/>
      <w:bookmarkStart w:id="89" w:name="_Toc43128123"/>
      <w:r>
        <w:t>FSANZ has also assessed soy leghemoglobin as a</w:t>
      </w:r>
      <w:r>
        <w:rPr>
          <w:szCs w:val="22"/>
        </w:rPr>
        <w:t xml:space="preserve"> nutritive substance </w:t>
      </w:r>
      <w:r>
        <w:t>f</w:t>
      </w:r>
      <w:r>
        <w:rPr>
          <w:szCs w:val="22"/>
        </w:rPr>
        <w:t>or the purpose of providing a source of iron to meat analogue products. This in turn enabled an assessment of the bioavailability of iron in soy l</w:t>
      </w:r>
      <w:r>
        <w:t>eghemoglobin in fulfilling a</w:t>
      </w:r>
      <w:r>
        <w:rPr>
          <w:szCs w:val="22"/>
        </w:rPr>
        <w:t xml:space="preserve"> nutritive purpose. </w:t>
      </w:r>
      <w:r w:rsidR="00B26F1A">
        <w:t xml:space="preserve">FSANZ understands that </w:t>
      </w:r>
      <w:r w:rsidRPr="00E66811">
        <w:t xml:space="preserve">the addition of soy leghemoglobin can </w:t>
      </w:r>
      <w:r w:rsidR="00B26F1A">
        <w:t xml:space="preserve">also </w:t>
      </w:r>
      <w:r w:rsidRPr="00E66811">
        <w:t>provide a flavouring and colouring effect, similar to that of myoglobin.</w:t>
      </w:r>
      <w:r>
        <w:t xml:space="preserve"> FSANZ recognises that many substances added to food may </w:t>
      </w:r>
      <w:r w:rsidR="00D45BAC">
        <w:t>also impart flavour and/or colour</w:t>
      </w:r>
      <w:r>
        <w:t xml:space="preserve">. </w:t>
      </w:r>
      <w:r w:rsidR="00260C11">
        <w:t xml:space="preserve">Several substances in the Code perform more than one function without being regulated as such. </w:t>
      </w:r>
      <w:r>
        <w:t>For example, several vitamins may also act as antioxidants or colorants. Equally, several food additives such as calcium salts contribute to the calcium content of food that may be declared in nutrition labelling.</w:t>
      </w:r>
    </w:p>
    <w:p w14:paraId="4838124A" w14:textId="38D8995B" w:rsidR="0066570D" w:rsidRDefault="0066570D" w:rsidP="00A0465D">
      <w:pPr>
        <w:pStyle w:val="Heading3"/>
        <w:rPr>
          <w:rFonts w:eastAsia="Calibri"/>
        </w:rPr>
      </w:pPr>
      <w:r>
        <w:rPr>
          <w:rFonts w:eastAsia="Calibri"/>
        </w:rPr>
        <w:t>3.</w:t>
      </w:r>
      <w:r w:rsidR="003F4065">
        <w:rPr>
          <w:rFonts w:eastAsia="Calibri"/>
        </w:rPr>
        <w:t>1</w:t>
      </w:r>
      <w:r w:rsidR="00A0465D">
        <w:rPr>
          <w:rFonts w:eastAsia="Calibri"/>
        </w:rPr>
        <w:t>.</w:t>
      </w:r>
      <w:r w:rsidR="003F4065">
        <w:rPr>
          <w:rFonts w:eastAsia="Calibri"/>
        </w:rPr>
        <w:t>1</w:t>
      </w:r>
      <w:r>
        <w:rPr>
          <w:rFonts w:eastAsia="Calibri"/>
        </w:rPr>
        <w:tab/>
      </w:r>
      <w:r w:rsidR="00433935">
        <w:rPr>
          <w:rFonts w:eastAsia="Calibri"/>
        </w:rPr>
        <w:t>P</w:t>
      </w:r>
      <w:r>
        <w:rPr>
          <w:rFonts w:eastAsia="Calibri"/>
        </w:rPr>
        <w:t>ermitted use level</w:t>
      </w:r>
      <w:r w:rsidR="00433935">
        <w:rPr>
          <w:rFonts w:eastAsia="Calibri"/>
        </w:rPr>
        <w:t>s</w:t>
      </w:r>
      <w:r>
        <w:rPr>
          <w:rFonts w:eastAsia="Calibri"/>
        </w:rPr>
        <w:t xml:space="preserve"> of soy leghemoglobin</w:t>
      </w:r>
      <w:bookmarkEnd w:id="85"/>
      <w:bookmarkEnd w:id="86"/>
      <w:bookmarkEnd w:id="87"/>
      <w:bookmarkEnd w:id="88"/>
      <w:bookmarkEnd w:id="89"/>
    </w:p>
    <w:p w14:paraId="287C68F4" w14:textId="793DE370" w:rsidR="00224BC4" w:rsidRDefault="00617D7B" w:rsidP="00EB26FF">
      <w:pPr>
        <w:widowControl/>
        <w:rPr>
          <w:rFonts w:eastAsia="Calibri"/>
          <w:szCs w:val="22"/>
          <w:lang w:bidi="ar-SA"/>
        </w:rPr>
      </w:pPr>
      <w:r w:rsidRPr="00224BC4">
        <w:rPr>
          <w:rFonts w:eastAsia="Calibri"/>
          <w:szCs w:val="22"/>
          <w:lang w:bidi="ar-SA"/>
        </w:rPr>
        <w:t xml:space="preserve">FSANZ has </w:t>
      </w:r>
      <w:r w:rsidR="00224BC4" w:rsidRPr="00224BC4">
        <w:rPr>
          <w:rFonts w:eastAsia="Calibri"/>
          <w:szCs w:val="22"/>
          <w:lang w:bidi="ar-SA"/>
        </w:rPr>
        <w:t>proposed</w:t>
      </w:r>
      <w:r w:rsidR="009E1A12" w:rsidRPr="00224BC4">
        <w:rPr>
          <w:rFonts w:eastAsia="Calibri"/>
          <w:szCs w:val="22"/>
          <w:lang w:bidi="ar-SA"/>
        </w:rPr>
        <w:t xml:space="preserve"> </w:t>
      </w:r>
      <w:r w:rsidR="0066570D" w:rsidRPr="00224BC4">
        <w:rPr>
          <w:rFonts w:eastAsia="Calibri"/>
          <w:szCs w:val="22"/>
          <w:lang w:bidi="ar-SA"/>
        </w:rPr>
        <w:t xml:space="preserve">a maximum permitted use level </w:t>
      </w:r>
      <w:r w:rsidR="00224BC4" w:rsidRPr="00224BC4">
        <w:rPr>
          <w:rFonts w:eastAsia="Calibri"/>
          <w:szCs w:val="22"/>
          <w:lang w:bidi="ar-SA"/>
        </w:rPr>
        <w:t>of up to 0.8% soy leghemoglobin in raw product</w:t>
      </w:r>
      <w:r w:rsidR="00515523">
        <w:rPr>
          <w:rFonts w:eastAsia="Calibri"/>
          <w:szCs w:val="22"/>
          <w:lang w:bidi="ar-SA"/>
        </w:rPr>
        <w:t xml:space="preserve"> for the following reasons</w:t>
      </w:r>
      <w:r w:rsidR="00224BC4" w:rsidRPr="00224BC4">
        <w:rPr>
          <w:rFonts w:eastAsia="Calibri"/>
          <w:szCs w:val="22"/>
          <w:lang w:bidi="ar-SA"/>
        </w:rPr>
        <w:t xml:space="preserve">: </w:t>
      </w:r>
    </w:p>
    <w:p w14:paraId="118317D5" w14:textId="5C1FFA5C" w:rsidR="00224BC4" w:rsidRDefault="00F00E13" w:rsidP="00224BC4">
      <w:pPr>
        <w:pStyle w:val="ListParagraph"/>
        <w:widowControl/>
        <w:numPr>
          <w:ilvl w:val="0"/>
          <w:numId w:val="27"/>
        </w:numPr>
        <w:rPr>
          <w:rFonts w:eastAsia="Calibri"/>
          <w:szCs w:val="22"/>
          <w:lang w:bidi="ar-SA"/>
        </w:rPr>
      </w:pPr>
      <w:r>
        <w:rPr>
          <w:rFonts w:eastAsia="Calibri"/>
          <w:szCs w:val="22"/>
          <w:lang w:bidi="ar-SA"/>
        </w:rPr>
        <w:t>T</w:t>
      </w:r>
      <w:r w:rsidRPr="00224BC4">
        <w:rPr>
          <w:rFonts w:eastAsia="Calibri"/>
          <w:szCs w:val="22"/>
          <w:lang w:bidi="ar-SA"/>
        </w:rPr>
        <w:t xml:space="preserve">here </w:t>
      </w:r>
      <w:r w:rsidR="00224BC4" w:rsidRPr="00224BC4">
        <w:rPr>
          <w:rFonts w:eastAsia="Calibri"/>
          <w:szCs w:val="22"/>
          <w:lang w:bidi="ar-SA"/>
        </w:rPr>
        <w:t>is an absence of safety data and information for soy leghemoglobin levels above 0.8%</w:t>
      </w:r>
      <w:r>
        <w:rPr>
          <w:rFonts w:eastAsia="Calibri"/>
          <w:szCs w:val="22"/>
          <w:lang w:bidi="ar-SA"/>
        </w:rPr>
        <w:t>.</w:t>
      </w:r>
    </w:p>
    <w:p w14:paraId="51D48DFD" w14:textId="13F30F2B" w:rsidR="00293CDD" w:rsidRPr="00224BC4" w:rsidRDefault="00293CDD" w:rsidP="00293CDD">
      <w:pPr>
        <w:pStyle w:val="ListParagraph"/>
        <w:widowControl/>
        <w:numPr>
          <w:ilvl w:val="0"/>
          <w:numId w:val="7"/>
        </w:numPr>
        <w:rPr>
          <w:rFonts w:eastAsia="Calibri"/>
          <w:szCs w:val="22"/>
          <w:lang w:bidi="ar-SA"/>
        </w:rPr>
      </w:pPr>
      <w:r w:rsidRPr="00293CDD">
        <w:rPr>
          <w:rFonts w:eastAsia="Calibri"/>
          <w:szCs w:val="22"/>
          <w:lang w:bidi="ar-SA"/>
        </w:rPr>
        <w:t>Maximum use levels are usually set higher than intended use levels to allow for variability from batch to batch.</w:t>
      </w:r>
    </w:p>
    <w:p w14:paraId="6D36035E" w14:textId="22F7EC44" w:rsidR="00224BC4" w:rsidRPr="00293CDD" w:rsidRDefault="00F00E13" w:rsidP="00293CDD">
      <w:pPr>
        <w:pStyle w:val="ListParagraph"/>
        <w:widowControl/>
        <w:numPr>
          <w:ilvl w:val="0"/>
          <w:numId w:val="7"/>
        </w:numPr>
        <w:rPr>
          <w:rFonts w:eastAsia="Calibri"/>
          <w:lang w:bidi="ar-SA"/>
        </w:rPr>
      </w:pPr>
      <w:r w:rsidRPr="00293CDD">
        <w:rPr>
          <w:rFonts w:eastAsia="Calibri"/>
          <w:szCs w:val="22"/>
          <w:lang w:bidi="ar-SA"/>
        </w:rPr>
        <w:t xml:space="preserve">The </w:t>
      </w:r>
      <w:r w:rsidR="00224BC4" w:rsidRPr="00293CDD">
        <w:rPr>
          <w:rFonts w:eastAsia="Calibri"/>
          <w:szCs w:val="22"/>
          <w:lang w:bidi="ar-SA"/>
        </w:rPr>
        <w:t>application indicates palatability starts to be adversely affected at levels beyond 0.8% soy leghemoglobin</w:t>
      </w:r>
      <w:r w:rsidR="00224BC4" w:rsidRPr="00293CDD">
        <w:rPr>
          <w:lang w:val="en-AU"/>
        </w:rPr>
        <w:t>. Specifically, this relates to the haem iron in the soy leghemoglobin leading to ‘livery’ or ‘metallic’ flavours that are off-putting at higher levels.</w:t>
      </w:r>
    </w:p>
    <w:p w14:paraId="4C2C27CE" w14:textId="76391F7E" w:rsidR="00224BC4" w:rsidRPr="00C0306D" w:rsidRDefault="00F00E13" w:rsidP="00224BC4">
      <w:pPr>
        <w:pStyle w:val="ListParagraph"/>
        <w:widowControl/>
        <w:numPr>
          <w:ilvl w:val="0"/>
          <w:numId w:val="7"/>
        </w:numPr>
        <w:rPr>
          <w:rFonts w:eastAsia="Calibri"/>
          <w:szCs w:val="22"/>
          <w:lang w:bidi="ar-SA"/>
        </w:rPr>
      </w:pPr>
      <w:r>
        <w:rPr>
          <w:lang w:val="en-AU"/>
        </w:rPr>
        <w:lastRenderedPageBreak/>
        <w:t>T</w:t>
      </w:r>
      <w:r w:rsidRPr="008A254B">
        <w:rPr>
          <w:lang w:val="en-AU"/>
        </w:rPr>
        <w:t xml:space="preserve">his </w:t>
      </w:r>
      <w:r w:rsidR="00224BC4" w:rsidRPr="008A254B">
        <w:rPr>
          <w:lang w:val="en-AU"/>
        </w:rPr>
        <w:t xml:space="preserve">level </w:t>
      </w:r>
      <w:r w:rsidR="00224BC4" w:rsidRPr="008A254B">
        <w:rPr>
          <w:rFonts w:eastAsia="Calibri"/>
          <w:szCs w:val="22"/>
          <w:lang w:bidi="ar-SA"/>
        </w:rPr>
        <w:t>aligns with the lower end of the range of myoglobin content in red meat (0.8 – 1.8%) (</w:t>
      </w:r>
      <w:r w:rsidR="00224BC4" w:rsidRPr="004C3737">
        <w:rPr>
          <w:lang w:val="en-AU"/>
        </w:rPr>
        <w:t>Texas A&amp;M Institute, 2019</w:t>
      </w:r>
      <w:r w:rsidR="00224BC4" w:rsidRPr="00194EBB">
        <w:rPr>
          <w:lang w:val="en-AU"/>
        </w:rPr>
        <w:t>)</w:t>
      </w:r>
      <w:r>
        <w:rPr>
          <w:lang w:val="en-AU"/>
        </w:rPr>
        <w:t>.</w:t>
      </w:r>
      <w:r w:rsidR="00224BC4">
        <w:rPr>
          <w:lang w:val="en-AU"/>
        </w:rPr>
        <w:t xml:space="preserve"> </w:t>
      </w:r>
    </w:p>
    <w:p w14:paraId="06358F1E" w14:textId="77777777" w:rsidR="0066570D" w:rsidRDefault="0066570D" w:rsidP="0066570D">
      <w:pPr>
        <w:widowControl/>
        <w:rPr>
          <w:rFonts w:eastAsia="Calibri"/>
          <w:szCs w:val="22"/>
          <w:lang w:bidi="ar-SA"/>
        </w:rPr>
      </w:pPr>
    </w:p>
    <w:p w14:paraId="69F286EB" w14:textId="23B0E3E3" w:rsidR="008A254B" w:rsidRPr="00224BC4" w:rsidRDefault="008A254B" w:rsidP="00224BC4">
      <w:pPr>
        <w:widowControl/>
        <w:spacing w:after="240"/>
        <w:rPr>
          <w:rFonts w:eastAsia="Calibri"/>
          <w:szCs w:val="22"/>
          <w:lang w:bidi="ar-SA"/>
        </w:rPr>
      </w:pPr>
      <w:r>
        <w:rPr>
          <w:rFonts w:eastAsia="Calibri"/>
          <w:szCs w:val="22"/>
          <w:lang w:bidi="ar-SA"/>
        </w:rPr>
        <w:t xml:space="preserve">FSANZ </w:t>
      </w:r>
      <w:r w:rsidR="00224BC4">
        <w:rPr>
          <w:rFonts w:eastAsia="Calibri"/>
          <w:szCs w:val="22"/>
          <w:lang w:bidi="ar-SA"/>
        </w:rPr>
        <w:t xml:space="preserve">has not </w:t>
      </w:r>
      <w:r w:rsidR="00617D7B">
        <w:rPr>
          <w:rFonts w:eastAsia="Calibri"/>
          <w:szCs w:val="22"/>
          <w:lang w:bidi="ar-SA"/>
        </w:rPr>
        <w:t>propose</w:t>
      </w:r>
      <w:r w:rsidR="00224BC4">
        <w:rPr>
          <w:rFonts w:eastAsia="Calibri"/>
          <w:szCs w:val="22"/>
          <w:lang w:bidi="ar-SA"/>
        </w:rPr>
        <w:t>d</w:t>
      </w:r>
      <w:r w:rsidR="005B13B4">
        <w:rPr>
          <w:rFonts w:eastAsia="Calibri"/>
          <w:szCs w:val="22"/>
          <w:lang w:bidi="ar-SA"/>
        </w:rPr>
        <w:t xml:space="preserve"> to</w:t>
      </w:r>
      <w:r>
        <w:rPr>
          <w:rFonts w:eastAsia="Calibri"/>
          <w:szCs w:val="22"/>
          <w:lang w:bidi="ar-SA"/>
        </w:rPr>
        <w:t xml:space="preserve"> </w:t>
      </w:r>
      <w:r w:rsidR="005B13B4">
        <w:rPr>
          <w:rFonts w:eastAsia="Calibri"/>
          <w:szCs w:val="22"/>
          <w:lang w:bidi="ar-SA"/>
        </w:rPr>
        <w:t>establish</w:t>
      </w:r>
      <w:r>
        <w:rPr>
          <w:rFonts w:eastAsia="Calibri"/>
          <w:szCs w:val="22"/>
          <w:lang w:bidi="ar-SA"/>
        </w:rPr>
        <w:t xml:space="preserve"> a minimum permitted use level</w:t>
      </w:r>
      <w:r w:rsidR="005B13B4">
        <w:rPr>
          <w:rFonts w:eastAsia="Calibri"/>
          <w:szCs w:val="22"/>
          <w:lang w:bidi="ar-SA"/>
        </w:rPr>
        <w:t xml:space="preserve"> </w:t>
      </w:r>
      <w:r w:rsidR="00834306">
        <w:rPr>
          <w:rFonts w:eastAsia="Calibri"/>
          <w:szCs w:val="22"/>
          <w:lang w:bidi="ar-SA"/>
        </w:rPr>
        <w:t>because</w:t>
      </w:r>
      <w:r w:rsidR="00224BC4">
        <w:rPr>
          <w:rFonts w:eastAsia="Calibri"/>
          <w:szCs w:val="22"/>
          <w:lang w:bidi="ar-SA"/>
        </w:rPr>
        <w:t xml:space="preserve"> </w:t>
      </w:r>
      <w:r w:rsidR="00834306" w:rsidRPr="00224BC4">
        <w:rPr>
          <w:rFonts w:eastAsia="Calibri"/>
          <w:szCs w:val="22"/>
          <w:lang w:bidi="ar-SA"/>
        </w:rPr>
        <w:t>s</w:t>
      </w:r>
      <w:r w:rsidRPr="00224BC4">
        <w:rPr>
          <w:rFonts w:eastAsia="Calibri"/>
          <w:szCs w:val="22"/>
          <w:lang w:bidi="ar-SA"/>
        </w:rPr>
        <w:t xml:space="preserve">oy leghemoglobin is proposed as a </w:t>
      </w:r>
      <w:r w:rsidR="009E1A12" w:rsidRPr="00224BC4">
        <w:rPr>
          <w:rFonts w:eastAsia="Calibri"/>
          <w:szCs w:val="22"/>
          <w:lang w:bidi="ar-SA"/>
        </w:rPr>
        <w:t xml:space="preserve">permitted </w:t>
      </w:r>
      <w:r w:rsidRPr="00224BC4">
        <w:rPr>
          <w:rFonts w:eastAsia="Calibri"/>
          <w:szCs w:val="22"/>
          <w:lang w:bidi="ar-SA"/>
        </w:rPr>
        <w:t>form of haem iron</w:t>
      </w:r>
      <w:r w:rsidR="009E1A12" w:rsidRPr="00224BC4">
        <w:rPr>
          <w:rFonts w:eastAsia="Calibri"/>
          <w:szCs w:val="22"/>
          <w:lang w:bidi="ar-SA"/>
        </w:rPr>
        <w:t xml:space="preserve"> while relying on the Code’s existing criteria for addition</w:t>
      </w:r>
      <w:r w:rsidRPr="00224BC4">
        <w:rPr>
          <w:rFonts w:eastAsia="Calibri"/>
          <w:szCs w:val="22"/>
          <w:lang w:bidi="ar-SA"/>
        </w:rPr>
        <w:t>.</w:t>
      </w:r>
    </w:p>
    <w:p w14:paraId="3D0DE326" w14:textId="1E4ED73F" w:rsidR="00EF0A15" w:rsidRPr="00CC14BC" w:rsidRDefault="00EF0A15" w:rsidP="00C347BB">
      <w:pPr>
        <w:pStyle w:val="Heading3"/>
        <w:rPr>
          <w:rFonts w:eastAsia="Calibri"/>
        </w:rPr>
      </w:pPr>
      <w:bookmarkStart w:id="90" w:name="_Toc41576656"/>
      <w:bookmarkStart w:id="91" w:name="_Toc42875219"/>
      <w:bookmarkStart w:id="92" w:name="_Toc43128124"/>
      <w:bookmarkStart w:id="93" w:name="_Toc26284649"/>
      <w:bookmarkStart w:id="94" w:name="_Toc26980502"/>
      <w:r>
        <w:rPr>
          <w:rFonts w:eastAsia="Calibri"/>
        </w:rPr>
        <w:t>3.</w:t>
      </w:r>
      <w:r w:rsidR="003F4065">
        <w:rPr>
          <w:rFonts w:eastAsia="Calibri"/>
        </w:rPr>
        <w:t>1</w:t>
      </w:r>
      <w:r w:rsidR="00A0465D">
        <w:rPr>
          <w:rFonts w:eastAsia="Calibri"/>
        </w:rPr>
        <w:t>.</w:t>
      </w:r>
      <w:r w:rsidR="003F4065">
        <w:rPr>
          <w:rFonts w:eastAsia="Calibri"/>
        </w:rPr>
        <w:t>2</w:t>
      </w:r>
      <w:r>
        <w:rPr>
          <w:rFonts w:eastAsia="Calibri"/>
        </w:rPr>
        <w:tab/>
        <w:t>Identifying levels of soy leghemoglobin in the food supply</w:t>
      </w:r>
      <w:bookmarkEnd w:id="90"/>
      <w:bookmarkEnd w:id="91"/>
      <w:bookmarkEnd w:id="92"/>
    </w:p>
    <w:p w14:paraId="4D3F6EDD" w14:textId="28FCD31D" w:rsidR="004911E2" w:rsidRDefault="0043346A" w:rsidP="004911E2">
      <w:r>
        <w:t>The applicant</w:t>
      </w:r>
      <w:r w:rsidR="00121995">
        <w:t xml:space="preserve"> </w:t>
      </w:r>
      <w:r>
        <w:t>has</w:t>
      </w:r>
      <w:r w:rsidR="00121995">
        <w:t xml:space="preserve"> demonstrated </w:t>
      </w:r>
      <w:r w:rsidR="004911E2">
        <w:t xml:space="preserve">that </w:t>
      </w:r>
      <w:r>
        <w:t>soy l</w:t>
      </w:r>
      <w:r w:rsidR="004911E2" w:rsidRPr="004911E2">
        <w:t xml:space="preserve">eghemoglobin </w:t>
      </w:r>
      <w:r w:rsidR="004911E2">
        <w:t xml:space="preserve">levels </w:t>
      </w:r>
      <w:r w:rsidR="004911E2" w:rsidRPr="004911E2">
        <w:t xml:space="preserve">can be quantitatively identified in the </w:t>
      </w:r>
      <w:r>
        <w:t xml:space="preserve">Impossible </w:t>
      </w:r>
      <w:r w:rsidR="004911E2" w:rsidRPr="004911E2">
        <w:t>burger</w:t>
      </w:r>
      <w:r w:rsidR="00C919EC">
        <w:t xml:space="preserve"> patty</w:t>
      </w:r>
      <w:r w:rsidR="004911E2" w:rsidRPr="004911E2">
        <w:t xml:space="preserve"> based</w:t>
      </w:r>
      <w:r w:rsidR="004911E2">
        <w:t xml:space="preserve"> </w:t>
      </w:r>
      <w:r w:rsidR="004911E2" w:rsidRPr="004911E2">
        <w:t xml:space="preserve">on </w:t>
      </w:r>
      <w:r w:rsidR="004911E2">
        <w:t xml:space="preserve">ultrahigh performance liquid chromatography </w:t>
      </w:r>
      <w:r w:rsidR="004911E2" w:rsidRPr="004911E2">
        <w:t>method</w:t>
      </w:r>
      <w:r w:rsidR="004911E2">
        <w:t>ology</w:t>
      </w:r>
      <w:r w:rsidR="004911E2" w:rsidRPr="004911E2">
        <w:t xml:space="preserve">. </w:t>
      </w:r>
      <w:r w:rsidR="004911E2">
        <w:t>A</w:t>
      </w:r>
      <w:r>
        <w:t>n appendix</w:t>
      </w:r>
      <w:r w:rsidR="004911E2">
        <w:t xml:space="preserve"> document provided as CCI </w:t>
      </w:r>
      <w:r w:rsidR="00133D6A">
        <w:t xml:space="preserve">to the application </w:t>
      </w:r>
      <w:r w:rsidR="004911E2">
        <w:t xml:space="preserve">described </w:t>
      </w:r>
      <w:r w:rsidR="00133D6A">
        <w:t xml:space="preserve">the applicants </w:t>
      </w:r>
      <w:r w:rsidR="004911E2">
        <w:t xml:space="preserve">procedure for measurement of </w:t>
      </w:r>
      <w:r w:rsidR="00C919EC">
        <w:t xml:space="preserve">soy </w:t>
      </w:r>
      <w:r w:rsidR="004911E2">
        <w:t xml:space="preserve">leghemoglobin concentration in </w:t>
      </w:r>
      <w:r w:rsidR="00C919EC">
        <w:t xml:space="preserve">the </w:t>
      </w:r>
      <w:r w:rsidR="004911E2">
        <w:t>soy leghemoglobin preparation</w:t>
      </w:r>
      <w:r w:rsidR="00C919EC">
        <w:t xml:space="preserve"> (LegH Prep)</w:t>
      </w:r>
      <w:r w:rsidR="004911E2">
        <w:t xml:space="preserve"> and </w:t>
      </w:r>
      <w:r w:rsidR="00C919EC">
        <w:t>Impossib</w:t>
      </w:r>
      <w:r w:rsidR="00E1362C">
        <w:t>le</w:t>
      </w:r>
      <w:r w:rsidR="00C919EC">
        <w:t xml:space="preserve"> meat analogue </w:t>
      </w:r>
      <w:r w:rsidR="004911E2">
        <w:t>burger</w:t>
      </w:r>
      <w:r w:rsidR="00C919EC">
        <w:t xml:space="preserve"> patties</w:t>
      </w:r>
      <w:r w:rsidR="004911E2">
        <w:t xml:space="preserve">. </w:t>
      </w:r>
      <w:r w:rsidR="00C919EC">
        <w:t>FSANZ notes that t</w:t>
      </w:r>
      <w:r w:rsidR="004911E2">
        <w:t>est results on these products stored under various conditions exhibited high levels of consistency in testing.</w:t>
      </w:r>
    </w:p>
    <w:p w14:paraId="437A3CA9" w14:textId="77777777" w:rsidR="004911E2" w:rsidRDefault="004911E2" w:rsidP="004911E2"/>
    <w:p w14:paraId="58CFF6CE" w14:textId="60259E5D" w:rsidR="00EF0A15" w:rsidRPr="00EF0A15" w:rsidRDefault="00CF3A29" w:rsidP="00EF0A15">
      <w:pPr>
        <w:rPr>
          <w:lang w:bidi="ar-SA"/>
        </w:rPr>
      </w:pPr>
      <w:r>
        <w:t>FSANZ understands that enforcement agencies have broad statutory powers under Australian and New Zealand food laws to inspect and compel the production of information and records from food businesses. These powers appear broad enough to enable the audit of a</w:t>
      </w:r>
      <w:r w:rsidRPr="00F76C03">
        <w:t>ny production records of any manufacturing facility to validate the amount of soy leghemoglobin</w:t>
      </w:r>
      <w:r>
        <w:t xml:space="preserve"> in the form of LegH Prep</w:t>
      </w:r>
      <w:r w:rsidRPr="00F76C03">
        <w:t xml:space="preserve"> being added to meat analogue product</w:t>
      </w:r>
      <w:r>
        <w:t xml:space="preserve">s. FSANZ also notes the applicant’s advice that it is </w:t>
      </w:r>
      <w:r w:rsidRPr="00F76C03">
        <w:t xml:space="preserve">willing </w:t>
      </w:r>
      <w:r>
        <w:t>to share its methods of analysis</w:t>
      </w:r>
      <w:r w:rsidRPr="00F76C03">
        <w:t xml:space="preserve"> </w:t>
      </w:r>
      <w:r>
        <w:t>for detecting</w:t>
      </w:r>
      <w:r w:rsidRPr="00F76C03">
        <w:t xml:space="preserve"> soy leghemoglobin </w:t>
      </w:r>
      <w:r>
        <w:t xml:space="preserve">in the form of LegH Prep </w:t>
      </w:r>
      <w:r w:rsidRPr="00F76C03">
        <w:t xml:space="preserve">in </w:t>
      </w:r>
      <w:r>
        <w:t xml:space="preserve">meat analogue products with enforcement agencies on a confidential basis. </w:t>
      </w:r>
    </w:p>
    <w:p w14:paraId="5836A12C" w14:textId="61FF3226" w:rsidR="000A5E22" w:rsidRPr="00D737E7" w:rsidRDefault="003F4065" w:rsidP="000A5E22">
      <w:pPr>
        <w:pStyle w:val="Heading2"/>
      </w:pPr>
      <w:bookmarkStart w:id="95" w:name="_Toc41576657"/>
      <w:bookmarkStart w:id="96" w:name="_Toc42875220"/>
      <w:bookmarkStart w:id="97" w:name="_Toc43128125"/>
      <w:r>
        <w:t>3.2</w:t>
      </w:r>
      <w:r w:rsidR="001F1201">
        <w:tab/>
      </w:r>
      <w:r w:rsidR="000A5E22" w:rsidRPr="00D737E7">
        <w:t>Labelling requirements</w:t>
      </w:r>
      <w:bookmarkEnd w:id="93"/>
      <w:bookmarkEnd w:id="94"/>
      <w:bookmarkEnd w:id="95"/>
      <w:bookmarkEnd w:id="96"/>
      <w:bookmarkEnd w:id="97"/>
    </w:p>
    <w:p w14:paraId="42D1F9FD" w14:textId="26F67EAF" w:rsidR="000A5E22" w:rsidRDefault="00BE6923" w:rsidP="000A5E22">
      <w:pPr>
        <w:widowControl/>
      </w:pPr>
      <w:r>
        <w:t xml:space="preserve">FSANZ has </w:t>
      </w:r>
      <w:r w:rsidR="00366C38">
        <w:t xml:space="preserve">assessed </w:t>
      </w:r>
      <w:r>
        <w:t xml:space="preserve">how existing labelling requirements </w:t>
      </w:r>
      <w:r w:rsidR="00125E6E">
        <w:t xml:space="preserve">will </w:t>
      </w:r>
      <w:r>
        <w:t xml:space="preserve">apply to soy leghemoglobin </w:t>
      </w:r>
      <w:r w:rsidR="00366C38">
        <w:t xml:space="preserve">as an </w:t>
      </w:r>
      <w:r>
        <w:t xml:space="preserve">ingredient. </w:t>
      </w:r>
      <w:r w:rsidR="00F427EE">
        <w:t xml:space="preserve">In response to </w:t>
      </w:r>
      <w:r w:rsidR="00366C38">
        <w:t>comments</w:t>
      </w:r>
      <w:r>
        <w:t xml:space="preserve"> </w:t>
      </w:r>
      <w:r w:rsidR="00C919EC">
        <w:t xml:space="preserve">at </w:t>
      </w:r>
      <w:r>
        <w:t xml:space="preserve">the </w:t>
      </w:r>
      <w:r w:rsidR="00534873">
        <w:t>1</w:t>
      </w:r>
      <w:r w:rsidR="00534873" w:rsidRPr="00534873">
        <w:rPr>
          <w:vertAlign w:val="superscript"/>
        </w:rPr>
        <w:t>st</w:t>
      </w:r>
      <w:r w:rsidR="00534873">
        <w:t xml:space="preserve"> </w:t>
      </w:r>
      <w:r w:rsidR="00E20660">
        <w:t>CFS</w:t>
      </w:r>
      <w:r>
        <w:t xml:space="preserve"> </w:t>
      </w:r>
      <w:r w:rsidR="00F427EE">
        <w:t xml:space="preserve">we have also considered </w:t>
      </w:r>
      <w:r w:rsidR="00F07A7C">
        <w:t xml:space="preserve">how the </w:t>
      </w:r>
      <w:r>
        <w:t xml:space="preserve">existing labelling requirements </w:t>
      </w:r>
      <w:r w:rsidR="00F07A7C">
        <w:t xml:space="preserve">will apply </w:t>
      </w:r>
      <w:r>
        <w:t>to meat analogue products</w:t>
      </w:r>
      <w:r w:rsidR="00366C38">
        <w:t xml:space="preserve"> </w:t>
      </w:r>
      <w:r w:rsidR="005671F8">
        <w:t xml:space="preserve">containing soy leghemoglobin as an ingredient. </w:t>
      </w:r>
    </w:p>
    <w:p w14:paraId="0C70330F" w14:textId="13683614" w:rsidR="000A5E22" w:rsidRDefault="003F4065" w:rsidP="000A5E22">
      <w:pPr>
        <w:pStyle w:val="Heading3"/>
      </w:pPr>
      <w:bookmarkStart w:id="98" w:name="_Toc26980503"/>
      <w:bookmarkStart w:id="99" w:name="_Toc41576658"/>
      <w:bookmarkStart w:id="100" w:name="_Toc42875221"/>
      <w:bookmarkStart w:id="101" w:name="_Toc43128126"/>
      <w:r>
        <w:t>3.2</w:t>
      </w:r>
      <w:r w:rsidR="000A5E22">
        <w:t>.1</w:t>
      </w:r>
      <w:r w:rsidR="000A5E22">
        <w:tab/>
      </w:r>
      <w:r w:rsidR="00BA31E3">
        <w:t>Name of i</w:t>
      </w:r>
      <w:r w:rsidR="000A5E22">
        <w:t>ngredient</w:t>
      </w:r>
      <w:bookmarkEnd w:id="98"/>
      <w:bookmarkEnd w:id="99"/>
      <w:bookmarkEnd w:id="100"/>
      <w:bookmarkEnd w:id="101"/>
    </w:p>
    <w:p w14:paraId="47637940" w14:textId="0FE67A09" w:rsidR="000A5E22" w:rsidRDefault="000A5E22" w:rsidP="000A5E22">
      <w:pPr>
        <w:widowControl/>
        <w:rPr>
          <w:lang w:bidi="ar-SA"/>
        </w:rPr>
      </w:pPr>
      <w:r>
        <w:rPr>
          <w:lang w:bidi="ar-SA"/>
        </w:rPr>
        <w:t xml:space="preserve">Generic labelling provisions in section 1.2.4—4 of Standard 1.2.4 – </w:t>
      </w:r>
      <w:r w:rsidRPr="00FC4256">
        <w:rPr>
          <w:i/>
          <w:lang w:bidi="ar-SA"/>
        </w:rPr>
        <w:t xml:space="preserve">Information requirements – statement of ingredients </w:t>
      </w:r>
      <w:r>
        <w:rPr>
          <w:lang w:bidi="ar-SA"/>
        </w:rPr>
        <w:t xml:space="preserve">require ingredients to be identified in a statement of ingredients on food labels using a name by which they are commonly known, or a name that describes its true nature, or a generic ingredient name if one is specified in </w:t>
      </w:r>
      <w:r w:rsidR="000E7C43">
        <w:rPr>
          <w:lang w:bidi="ar-SA"/>
        </w:rPr>
        <w:t xml:space="preserve">the table to </w:t>
      </w:r>
      <w:r w:rsidR="00452F2D">
        <w:rPr>
          <w:lang w:bidi="ar-SA"/>
        </w:rPr>
        <w:t xml:space="preserve">section </w:t>
      </w:r>
      <w:r w:rsidR="000E7C43">
        <w:rPr>
          <w:lang w:bidi="ar-SA"/>
        </w:rPr>
        <w:t>S10—2</w:t>
      </w:r>
      <w:r>
        <w:rPr>
          <w:lang w:bidi="ar-SA"/>
        </w:rPr>
        <w:t xml:space="preserve">. There is no requirement for a statement of ingredients </w:t>
      </w:r>
      <w:r w:rsidR="008A4752">
        <w:rPr>
          <w:lang w:bidi="ar-SA"/>
        </w:rPr>
        <w:t>for</w:t>
      </w:r>
      <w:r>
        <w:rPr>
          <w:lang w:bidi="ar-SA"/>
        </w:rPr>
        <w:t xml:space="preserve"> a food for sale that is not required to bear a label</w:t>
      </w:r>
      <w:r w:rsidR="00452F2D">
        <w:rPr>
          <w:lang w:bidi="ar-SA"/>
        </w:rPr>
        <w:t xml:space="preserve"> (see section 1.2.1—9</w:t>
      </w:r>
      <w:r w:rsidR="00995ABA">
        <w:rPr>
          <w:lang w:bidi="ar-SA"/>
        </w:rPr>
        <w:t xml:space="preserve"> of Standard 1.2.1</w:t>
      </w:r>
      <w:r w:rsidR="00452F2D">
        <w:rPr>
          <w:lang w:bidi="ar-SA"/>
        </w:rPr>
        <w:t>)</w:t>
      </w:r>
      <w:r>
        <w:rPr>
          <w:lang w:bidi="ar-SA"/>
        </w:rPr>
        <w:t xml:space="preserve">. </w:t>
      </w:r>
    </w:p>
    <w:p w14:paraId="4E2F6BEF" w14:textId="77777777" w:rsidR="000A5E22" w:rsidRDefault="000A5E22" w:rsidP="000A5E22">
      <w:pPr>
        <w:widowControl/>
        <w:rPr>
          <w:lang w:eastAsia="en-AU" w:bidi="ar-SA"/>
        </w:rPr>
      </w:pPr>
    </w:p>
    <w:p w14:paraId="0C4C87F2" w14:textId="03A794BB" w:rsidR="000A5E22" w:rsidRDefault="00032ED3" w:rsidP="000A5E22">
      <w:pPr>
        <w:widowControl/>
        <w:rPr>
          <w:lang w:eastAsia="en-AU" w:bidi="ar-SA"/>
        </w:rPr>
      </w:pPr>
      <w:r>
        <w:rPr>
          <w:rFonts w:eastAsia="Calibri"/>
          <w:szCs w:val="22"/>
          <w:lang w:bidi="ar-SA"/>
        </w:rPr>
        <w:t xml:space="preserve">The applicant states </w:t>
      </w:r>
      <w:r w:rsidR="00667503" w:rsidRPr="00667503">
        <w:rPr>
          <w:rFonts w:eastAsia="Calibri"/>
          <w:szCs w:val="22"/>
          <w:lang w:bidi="ar-SA"/>
        </w:rPr>
        <w:t>the common name of this ingredient is 'soy leghemoglobin'</w:t>
      </w:r>
      <w:r w:rsidR="00667503">
        <w:rPr>
          <w:rFonts w:eastAsia="Calibri"/>
          <w:szCs w:val="22"/>
          <w:lang w:bidi="ar-SA"/>
        </w:rPr>
        <w:t xml:space="preserve">. </w:t>
      </w:r>
      <w:r w:rsidR="000A5E22">
        <w:rPr>
          <w:rFonts w:eastAsia="Calibri"/>
          <w:szCs w:val="22"/>
          <w:lang w:bidi="ar-SA"/>
        </w:rPr>
        <w:t>FSANZ</w:t>
      </w:r>
      <w:r w:rsidR="00997AC9">
        <w:rPr>
          <w:rFonts w:eastAsia="Calibri"/>
          <w:szCs w:val="22"/>
          <w:lang w:bidi="ar-SA"/>
        </w:rPr>
        <w:t xml:space="preserve"> considers </w:t>
      </w:r>
      <w:r w:rsidR="000A5E22">
        <w:rPr>
          <w:rFonts w:eastAsia="Calibri"/>
          <w:szCs w:val="22"/>
          <w:lang w:bidi="ar-SA"/>
        </w:rPr>
        <w:t xml:space="preserve">the </w:t>
      </w:r>
      <w:r w:rsidR="000A5E22">
        <w:rPr>
          <w:lang w:eastAsia="en-AU" w:bidi="ar-SA"/>
        </w:rPr>
        <w:t xml:space="preserve">generic requirements </w:t>
      </w:r>
      <w:r w:rsidR="005671F8">
        <w:rPr>
          <w:lang w:eastAsia="en-AU" w:bidi="ar-SA"/>
        </w:rPr>
        <w:t>for labelling of soy leghemoglobin as an ingredient will enable consumers to make informed choice</w:t>
      </w:r>
      <w:r w:rsidR="000A5E22">
        <w:rPr>
          <w:lang w:eastAsia="en-AU" w:bidi="ar-SA"/>
        </w:rPr>
        <w:t xml:space="preserve">. </w:t>
      </w:r>
    </w:p>
    <w:p w14:paraId="37868671" w14:textId="2F1738FF" w:rsidR="00667503" w:rsidRPr="00777093" w:rsidRDefault="003F4065" w:rsidP="006D0845">
      <w:pPr>
        <w:pStyle w:val="Heading3"/>
        <w:rPr>
          <w:b w:val="0"/>
        </w:rPr>
      </w:pPr>
      <w:bookmarkStart w:id="102" w:name="_Toc41576659"/>
      <w:bookmarkStart w:id="103" w:name="_Toc42875222"/>
      <w:bookmarkStart w:id="104" w:name="_Toc43128127"/>
      <w:bookmarkStart w:id="105" w:name="_Toc26980504"/>
      <w:r w:rsidRPr="006D0845">
        <w:t>3.2</w:t>
      </w:r>
      <w:r w:rsidR="000A5E22">
        <w:rPr>
          <w:b w:val="0"/>
        </w:rPr>
        <w:t>.2</w:t>
      </w:r>
      <w:r w:rsidR="000A5E22" w:rsidRPr="00032ED3">
        <w:rPr>
          <w:b w:val="0"/>
        </w:rPr>
        <w:tab/>
      </w:r>
      <w:r w:rsidR="000A5E22">
        <w:rPr>
          <w:b w:val="0"/>
        </w:rPr>
        <w:t xml:space="preserve">Mandatory </w:t>
      </w:r>
      <w:r w:rsidR="00777093">
        <w:rPr>
          <w:b w:val="0"/>
        </w:rPr>
        <w:t>d</w:t>
      </w:r>
      <w:r w:rsidR="00032ED3" w:rsidRPr="00032ED3">
        <w:rPr>
          <w:b w:val="0"/>
        </w:rPr>
        <w:t xml:space="preserve">eclaration of certain </w:t>
      </w:r>
      <w:r w:rsidR="00667503">
        <w:rPr>
          <w:b w:val="0"/>
        </w:rPr>
        <w:t xml:space="preserve">foods or </w:t>
      </w:r>
      <w:r w:rsidR="00032ED3" w:rsidRPr="00032ED3">
        <w:rPr>
          <w:b w:val="0"/>
        </w:rPr>
        <w:t>substances</w:t>
      </w:r>
      <w:r w:rsidR="00667503">
        <w:rPr>
          <w:b w:val="0"/>
        </w:rPr>
        <w:t xml:space="preserve"> in food</w:t>
      </w:r>
      <w:bookmarkEnd w:id="102"/>
      <w:bookmarkEnd w:id="103"/>
      <w:bookmarkEnd w:id="104"/>
    </w:p>
    <w:p w14:paraId="0D16A473" w14:textId="0A48904E" w:rsidR="004E4FB0" w:rsidRPr="00032ED3" w:rsidRDefault="004E4FB0" w:rsidP="004E4FB0">
      <w:pPr>
        <w:widowControl/>
        <w:rPr>
          <w:lang w:bidi="ar-SA"/>
        </w:rPr>
      </w:pPr>
      <w:r>
        <w:rPr>
          <w:lang w:bidi="ar-SA"/>
        </w:rPr>
        <w:t>Section</w:t>
      </w:r>
      <w:r w:rsidRPr="00032ED3">
        <w:rPr>
          <w:lang w:bidi="ar-SA"/>
        </w:rPr>
        <w:t xml:space="preserve"> 1.2.3—4 of Standard 1.2.3 – </w:t>
      </w:r>
      <w:r w:rsidRPr="00032ED3">
        <w:rPr>
          <w:i/>
          <w:lang w:bidi="ar-SA"/>
        </w:rPr>
        <w:t>Information requirements – warning statements, advisory statements and declarations</w:t>
      </w:r>
      <w:r>
        <w:rPr>
          <w:lang w:bidi="ar-SA"/>
        </w:rPr>
        <w:t xml:space="preserve"> requires the declaration of soybean when </w:t>
      </w:r>
      <w:r w:rsidR="001F0882">
        <w:rPr>
          <w:lang w:bidi="ar-SA"/>
        </w:rPr>
        <w:t xml:space="preserve">soybean </w:t>
      </w:r>
      <w:r w:rsidR="00423E7C">
        <w:rPr>
          <w:lang w:bidi="ar-SA"/>
        </w:rPr>
        <w:t>or soybean products are</w:t>
      </w:r>
      <w:r w:rsidR="007F33BD">
        <w:rPr>
          <w:lang w:bidi="ar-SA"/>
        </w:rPr>
        <w:t xml:space="preserve"> </w:t>
      </w:r>
      <w:r>
        <w:rPr>
          <w:lang w:bidi="ar-SA"/>
        </w:rPr>
        <w:t xml:space="preserve">present </w:t>
      </w:r>
      <w:r w:rsidR="00D37DE9">
        <w:rPr>
          <w:lang w:bidi="ar-SA"/>
        </w:rPr>
        <w:t xml:space="preserve">in a food for sale </w:t>
      </w:r>
      <w:r w:rsidRPr="00032ED3">
        <w:rPr>
          <w:lang w:bidi="ar-SA"/>
        </w:rPr>
        <w:t xml:space="preserve">as an ingredient or </w:t>
      </w:r>
      <w:r>
        <w:rPr>
          <w:lang w:bidi="ar-SA"/>
        </w:rPr>
        <w:t>an</w:t>
      </w:r>
      <w:r w:rsidRPr="00032ED3">
        <w:rPr>
          <w:lang w:bidi="ar-SA"/>
        </w:rPr>
        <w:t xml:space="preserve"> ingredient of a compound ingredient</w:t>
      </w:r>
      <w:r>
        <w:rPr>
          <w:lang w:bidi="ar-SA"/>
        </w:rPr>
        <w:t xml:space="preserve">, and when present as a food additive or processing aid </w:t>
      </w:r>
      <w:r w:rsidR="00D37DE9">
        <w:rPr>
          <w:lang w:bidi="ar-SA"/>
        </w:rPr>
        <w:t>(or ingredients or components thereof)</w:t>
      </w:r>
      <w:r>
        <w:rPr>
          <w:lang w:bidi="ar-SA"/>
        </w:rPr>
        <w:t>. The addition of soy leghemoglobin as an ingredient in a meat analogue product would trigger a declaration for the presence of soybean on the label</w:t>
      </w:r>
      <w:r w:rsidR="00BC7345">
        <w:rPr>
          <w:lang w:bidi="ar-SA"/>
        </w:rPr>
        <w:t xml:space="preserve"> (see paragraph 1.2.1—8(1)(d)</w:t>
      </w:r>
      <w:r w:rsidR="00995ABA">
        <w:rPr>
          <w:lang w:bidi="ar-SA"/>
        </w:rPr>
        <w:t xml:space="preserve"> of Standard 1.2.1</w:t>
      </w:r>
      <w:r w:rsidR="00BC7345">
        <w:rPr>
          <w:lang w:bidi="ar-SA"/>
        </w:rPr>
        <w:t>)</w:t>
      </w:r>
      <w:r>
        <w:rPr>
          <w:lang w:bidi="ar-SA"/>
        </w:rPr>
        <w:t>. I</w:t>
      </w:r>
      <w:r w:rsidRPr="00032ED3">
        <w:rPr>
          <w:lang w:bidi="ar-SA"/>
        </w:rPr>
        <w:t>f the food is not required to bear a label, allergen information must be displayed in connection with the display of the food or provided to the purchaser on request (</w:t>
      </w:r>
      <w:r w:rsidR="00BC7345">
        <w:rPr>
          <w:lang w:bidi="ar-SA"/>
        </w:rPr>
        <w:t>see paragraph</w:t>
      </w:r>
      <w:r w:rsidR="00BC7345" w:rsidRPr="00032ED3">
        <w:rPr>
          <w:lang w:bidi="ar-SA"/>
        </w:rPr>
        <w:t xml:space="preserve"> 1.2.1—9</w:t>
      </w:r>
      <w:r w:rsidR="00BC7345">
        <w:rPr>
          <w:lang w:bidi="ar-SA"/>
        </w:rPr>
        <w:t>(7)(b)</w:t>
      </w:r>
      <w:r w:rsidR="00BC7345" w:rsidRPr="00032ED3">
        <w:rPr>
          <w:lang w:bidi="ar-SA"/>
        </w:rPr>
        <w:t xml:space="preserve"> </w:t>
      </w:r>
      <w:r w:rsidR="00BC7345">
        <w:rPr>
          <w:lang w:bidi="ar-SA"/>
        </w:rPr>
        <w:t xml:space="preserve">of </w:t>
      </w:r>
      <w:r w:rsidRPr="00032ED3">
        <w:rPr>
          <w:lang w:bidi="ar-SA"/>
        </w:rPr>
        <w:t xml:space="preserve">Standard 1.2.1). </w:t>
      </w:r>
    </w:p>
    <w:p w14:paraId="38AF93BD" w14:textId="77777777" w:rsidR="004E4FB0" w:rsidRPr="00032ED3" w:rsidRDefault="004E4FB0" w:rsidP="004E4FB0">
      <w:pPr>
        <w:widowControl/>
        <w:rPr>
          <w:lang w:bidi="ar-SA"/>
        </w:rPr>
      </w:pPr>
    </w:p>
    <w:p w14:paraId="42C389D5" w14:textId="262F26C9" w:rsidR="004E4FB0" w:rsidRDefault="004E4FB0" w:rsidP="004E4FB0">
      <w:pPr>
        <w:widowControl/>
        <w:rPr>
          <w:lang w:bidi="ar-SA"/>
        </w:rPr>
      </w:pPr>
      <w:r w:rsidRPr="00032ED3">
        <w:rPr>
          <w:lang w:bidi="ar-SA"/>
        </w:rPr>
        <w:t>Food sold to a caterer in a package must include the soy</w:t>
      </w:r>
      <w:r>
        <w:rPr>
          <w:lang w:bidi="ar-SA"/>
        </w:rPr>
        <w:t>bean</w:t>
      </w:r>
      <w:r w:rsidRPr="00032ED3">
        <w:rPr>
          <w:lang w:bidi="ar-SA"/>
        </w:rPr>
        <w:t xml:space="preserve"> declaration on the label, as required by </w:t>
      </w:r>
      <w:r w:rsidR="00010531" w:rsidRPr="00010531">
        <w:rPr>
          <w:lang w:bidi="ar-SA"/>
        </w:rPr>
        <w:t>paragraph 1.2.1—15(c)</w:t>
      </w:r>
      <w:r w:rsidRPr="00032ED3">
        <w:rPr>
          <w:lang w:bidi="ar-SA"/>
        </w:rPr>
        <w:t xml:space="preserve"> of Standard 1.2.1 – </w:t>
      </w:r>
      <w:r w:rsidRPr="00032ED3">
        <w:rPr>
          <w:i/>
          <w:lang w:bidi="ar-SA"/>
        </w:rPr>
        <w:t>Requirements to have labels or otherwise provide information</w:t>
      </w:r>
      <w:r w:rsidRPr="00032ED3">
        <w:rPr>
          <w:lang w:bidi="ar-SA"/>
        </w:rPr>
        <w:t xml:space="preserve">. </w:t>
      </w:r>
    </w:p>
    <w:p w14:paraId="628B97DA" w14:textId="77777777" w:rsidR="004E4FB0" w:rsidRDefault="004E4FB0" w:rsidP="004E4FB0">
      <w:pPr>
        <w:widowControl/>
        <w:rPr>
          <w:lang w:bidi="ar-SA"/>
        </w:rPr>
      </w:pPr>
    </w:p>
    <w:p w14:paraId="61ACA5ED" w14:textId="4FAB03EB" w:rsidR="00032ED3" w:rsidRDefault="004E4FB0" w:rsidP="00032ED3">
      <w:pPr>
        <w:widowControl/>
        <w:rPr>
          <w:lang w:bidi="ar-SA"/>
        </w:rPr>
      </w:pPr>
      <w:r>
        <w:rPr>
          <w:lang w:bidi="ar-SA"/>
        </w:rPr>
        <w:t>Provision of this information will enable food</w:t>
      </w:r>
      <w:r w:rsidR="00995ABA">
        <w:rPr>
          <w:lang w:bidi="ar-SA"/>
        </w:rPr>
        <w:t>-</w:t>
      </w:r>
      <w:r>
        <w:rPr>
          <w:lang w:bidi="ar-SA"/>
        </w:rPr>
        <w:t>allergic consumers and their caregivers to make informed, safe food choices.</w:t>
      </w:r>
    </w:p>
    <w:p w14:paraId="0688122F" w14:textId="77777777" w:rsidR="00032ED3" w:rsidRPr="00032ED3" w:rsidRDefault="00032ED3" w:rsidP="006D0845">
      <w:pPr>
        <w:pStyle w:val="Heading3"/>
        <w:rPr>
          <w:b w:val="0"/>
        </w:rPr>
      </w:pPr>
      <w:bookmarkStart w:id="106" w:name="_Toc42875223"/>
      <w:bookmarkStart w:id="107" w:name="_Toc43128128"/>
      <w:r w:rsidRPr="00032ED3">
        <w:lastRenderedPageBreak/>
        <w:t>3.2.</w:t>
      </w:r>
      <w:r>
        <w:rPr>
          <w:b w:val="0"/>
        </w:rPr>
        <w:t>3</w:t>
      </w:r>
      <w:r w:rsidRPr="00032ED3">
        <w:rPr>
          <w:b w:val="0"/>
        </w:rPr>
        <w:tab/>
        <w:t>Labelling as ‘genetically modified’</w:t>
      </w:r>
      <w:bookmarkEnd w:id="106"/>
      <w:bookmarkEnd w:id="107"/>
      <w:r w:rsidRPr="00032ED3">
        <w:rPr>
          <w:b w:val="0"/>
        </w:rPr>
        <w:t xml:space="preserve"> </w:t>
      </w:r>
    </w:p>
    <w:p w14:paraId="2D2E57B0" w14:textId="5A26BBF2" w:rsidR="00081C38" w:rsidRDefault="00032ED3" w:rsidP="001D5FC5">
      <w:pPr>
        <w:widowControl/>
      </w:pPr>
      <w:r w:rsidRPr="00032ED3">
        <w:rPr>
          <w:lang w:eastAsia="en-AU" w:bidi="ar-SA"/>
        </w:rPr>
        <w:t>As discussed in the risk and technical assessment</w:t>
      </w:r>
      <w:r w:rsidR="0083347A">
        <w:rPr>
          <w:lang w:eastAsia="en-AU" w:bidi="ar-SA"/>
        </w:rPr>
        <w:t xml:space="preserve"> report</w:t>
      </w:r>
      <w:r w:rsidRPr="00032ED3">
        <w:rPr>
          <w:lang w:eastAsia="en-AU" w:bidi="ar-SA"/>
        </w:rPr>
        <w:t xml:space="preserve"> (SD1), novel DNA and novel protein from genetically modified </w:t>
      </w:r>
      <w:r w:rsidRPr="00032ED3">
        <w:rPr>
          <w:i/>
          <w:lang w:eastAsia="en-AU" w:bidi="ar-SA"/>
        </w:rPr>
        <w:t>P. pastoris</w:t>
      </w:r>
      <w:r w:rsidRPr="00032ED3">
        <w:rPr>
          <w:lang w:eastAsia="en-AU" w:bidi="ar-SA"/>
        </w:rPr>
        <w:t xml:space="preserve"> strain will be present in the </w:t>
      </w:r>
      <w:r w:rsidR="00F07A7C" w:rsidRPr="00F07A7C">
        <w:rPr>
          <w:lang w:eastAsia="en-AU" w:bidi="ar-SA"/>
        </w:rPr>
        <w:t xml:space="preserve">meat analogue product from </w:t>
      </w:r>
      <w:r w:rsidR="00E03188">
        <w:rPr>
          <w:lang w:eastAsia="en-AU" w:bidi="ar-SA"/>
        </w:rPr>
        <w:t>a</w:t>
      </w:r>
      <w:r w:rsidR="00F07A7C" w:rsidRPr="00F07A7C">
        <w:rPr>
          <w:lang w:eastAsia="en-AU" w:bidi="ar-SA"/>
        </w:rPr>
        <w:t xml:space="preserve"> liquid preparation (LegH Prep) which contains the soy leghemoglobin.</w:t>
      </w:r>
      <w:r w:rsidR="00F07A7C">
        <w:rPr>
          <w:lang w:eastAsia="en-AU" w:bidi="ar-SA"/>
        </w:rPr>
        <w:t xml:space="preserve"> </w:t>
      </w:r>
      <w:r w:rsidR="00081C38">
        <w:t xml:space="preserve">As noted in </w:t>
      </w:r>
      <w:r w:rsidR="0067305B">
        <w:t xml:space="preserve">Section </w:t>
      </w:r>
      <w:r w:rsidR="00081C38">
        <w:t>1.2 of this report, the applicant plans to sell their meat analogue products containing soy leghemoglobin</w:t>
      </w:r>
      <w:r w:rsidR="001D5FC5">
        <w:t xml:space="preserve"> </w:t>
      </w:r>
      <w:r w:rsidR="007F5BFB">
        <w:t xml:space="preserve">directly </w:t>
      </w:r>
      <w:r w:rsidR="00081C38">
        <w:t>to consumers as packaged products</w:t>
      </w:r>
      <w:r w:rsidR="00995ABA">
        <w:t xml:space="preserve"> (as well as to suppliers)</w:t>
      </w:r>
      <w:r w:rsidR="001D5FC5">
        <w:t>.</w:t>
      </w:r>
    </w:p>
    <w:p w14:paraId="65E6C0C5" w14:textId="77777777" w:rsidR="00081C38" w:rsidRDefault="00081C38" w:rsidP="00AA6F13"/>
    <w:p w14:paraId="607E2A7E" w14:textId="3A6000A5" w:rsidR="00F031D3" w:rsidRPr="00F031D3" w:rsidRDefault="00F031D3" w:rsidP="00F031D3">
      <w:pPr>
        <w:widowControl/>
        <w:rPr>
          <w:lang w:eastAsia="en-AU" w:bidi="ar-SA"/>
        </w:rPr>
      </w:pPr>
      <w:r w:rsidRPr="00F031D3">
        <w:rPr>
          <w:lang w:eastAsia="en-AU" w:bidi="ar-SA"/>
        </w:rPr>
        <w:t xml:space="preserve">Section 1.5.2—4 of Standard 1.5.2 – </w:t>
      </w:r>
      <w:r w:rsidRPr="00F031D3">
        <w:rPr>
          <w:i/>
          <w:lang w:eastAsia="en-AU" w:bidi="ar-SA"/>
        </w:rPr>
        <w:t xml:space="preserve">Food produced using gene technology </w:t>
      </w:r>
      <w:r w:rsidRPr="00F031D3">
        <w:rPr>
          <w:lang w:eastAsia="en-AU" w:bidi="ar-SA"/>
        </w:rPr>
        <w:t xml:space="preserve">sets out the requirement to label </w:t>
      </w:r>
      <w:r w:rsidR="00DF7C6A">
        <w:rPr>
          <w:lang w:eastAsia="en-AU" w:bidi="ar-SA"/>
        </w:rPr>
        <w:t xml:space="preserve">certain </w:t>
      </w:r>
      <w:r w:rsidRPr="00F031D3">
        <w:rPr>
          <w:lang w:eastAsia="en-AU" w:bidi="ar-SA"/>
        </w:rPr>
        <w:t>food as ‘genetically modified’. Subsection 1.5.2—4(3) states that if the genetically modified food is an ingredient in a packaged food for sale</w:t>
      </w:r>
      <w:r w:rsidR="00DF7C6A">
        <w:rPr>
          <w:lang w:eastAsia="en-AU" w:bidi="ar-SA"/>
        </w:rPr>
        <w:t xml:space="preserve"> (among other things</w:t>
      </w:r>
      <w:r w:rsidR="008D05AA">
        <w:rPr>
          <w:lang w:eastAsia="en-AU" w:bidi="ar-SA"/>
        </w:rPr>
        <w:t xml:space="preserve"> e.g. a substance used as a food additive</w:t>
      </w:r>
      <w:r w:rsidR="00DF7C6A">
        <w:rPr>
          <w:lang w:eastAsia="en-AU" w:bidi="ar-SA"/>
        </w:rPr>
        <w:t>)</w:t>
      </w:r>
      <w:r w:rsidRPr="00F031D3">
        <w:rPr>
          <w:lang w:eastAsia="en-AU" w:bidi="ar-SA"/>
        </w:rPr>
        <w:t>, the information may be included in the statement of ingredients.</w:t>
      </w:r>
    </w:p>
    <w:p w14:paraId="63311750" w14:textId="77777777" w:rsidR="00F031D3" w:rsidRPr="00F031D3" w:rsidRDefault="00F031D3" w:rsidP="00F031D3"/>
    <w:p w14:paraId="6D583559" w14:textId="0E1DC1CC" w:rsidR="002F1FE6" w:rsidRPr="00F031D3" w:rsidRDefault="007620DC" w:rsidP="00F031D3">
      <w:pPr>
        <w:widowControl/>
        <w:rPr>
          <w:rFonts w:cs="Arial"/>
          <w:lang w:bidi="ar-SA"/>
        </w:rPr>
      </w:pPr>
      <w:r>
        <w:rPr>
          <w:rFonts w:cs="Arial"/>
          <w:lang w:bidi="ar-SA"/>
        </w:rPr>
        <w:t>If the f</w:t>
      </w:r>
      <w:r w:rsidR="00F031D3" w:rsidRPr="00F031D3" w:rsidDel="00732467">
        <w:rPr>
          <w:rFonts w:cs="Arial"/>
          <w:lang w:bidi="ar-SA"/>
        </w:rPr>
        <w:t xml:space="preserve">ood </w:t>
      </w:r>
      <w:r>
        <w:rPr>
          <w:rFonts w:cs="Arial"/>
          <w:lang w:bidi="ar-SA"/>
        </w:rPr>
        <w:t>for sale is</w:t>
      </w:r>
      <w:r w:rsidR="002F1FE6" w:rsidRPr="00F031D3" w:rsidDel="00732467">
        <w:rPr>
          <w:rFonts w:cs="Arial"/>
          <w:lang w:bidi="ar-SA"/>
        </w:rPr>
        <w:t xml:space="preserve"> intended for immediate consumption </w:t>
      </w:r>
      <w:r w:rsidR="00815D6D">
        <w:rPr>
          <w:rFonts w:cs="Arial"/>
          <w:lang w:bidi="ar-SA"/>
        </w:rPr>
        <w:t>and</w:t>
      </w:r>
      <w:r w:rsidR="00815D6D" w:rsidRPr="00F031D3" w:rsidDel="00732467">
        <w:rPr>
          <w:rFonts w:cs="Arial"/>
          <w:lang w:bidi="ar-SA"/>
        </w:rPr>
        <w:t xml:space="preserve"> </w:t>
      </w:r>
      <w:r w:rsidR="002F1FE6" w:rsidRPr="00F031D3" w:rsidDel="00732467">
        <w:rPr>
          <w:rFonts w:cs="Arial"/>
          <w:lang w:bidi="ar-SA"/>
        </w:rPr>
        <w:t xml:space="preserve">is prepared and sold from </w:t>
      </w:r>
      <w:r w:rsidR="002F1FE6" w:rsidRPr="00F031D3">
        <w:rPr>
          <w:rFonts w:cs="Arial"/>
          <w:lang w:bidi="ar-SA"/>
        </w:rPr>
        <w:t>for food premises and vending vehicles (including restaurants, takeaway outlets, caterers and self-catering institutions)</w:t>
      </w:r>
      <w:r w:rsidR="00815D6D">
        <w:rPr>
          <w:rFonts w:cs="Arial"/>
          <w:lang w:bidi="ar-SA"/>
        </w:rPr>
        <w:t>, it</w:t>
      </w:r>
      <w:r w:rsidR="00081C38" w:rsidRPr="00F031D3">
        <w:rPr>
          <w:rFonts w:cs="Arial"/>
          <w:lang w:bidi="ar-SA"/>
        </w:rPr>
        <w:t xml:space="preserve"> is exempt from the requirement to label food as ‘genetically modified’ </w:t>
      </w:r>
      <w:r w:rsidR="002F1FE6" w:rsidRPr="00F031D3">
        <w:rPr>
          <w:rFonts w:cs="Arial"/>
          <w:lang w:bidi="ar-SA"/>
        </w:rPr>
        <w:t>(paragraph 1.5.2—4(1)(e))</w:t>
      </w:r>
      <w:r w:rsidR="008F2704" w:rsidRPr="00F031D3">
        <w:rPr>
          <w:rFonts w:cs="Arial"/>
          <w:lang w:bidi="ar-SA"/>
        </w:rPr>
        <w:t xml:space="preserve">. </w:t>
      </w:r>
    </w:p>
    <w:p w14:paraId="6C0376A3" w14:textId="77777777" w:rsidR="00032ED3" w:rsidRPr="00F031D3" w:rsidRDefault="00032ED3" w:rsidP="009844F9">
      <w:pPr>
        <w:widowControl/>
        <w:rPr>
          <w:lang w:eastAsia="en-AU" w:bidi="ar-SA"/>
        </w:rPr>
      </w:pPr>
    </w:p>
    <w:p w14:paraId="1502D67C" w14:textId="56DD7CC8" w:rsidR="00032ED3" w:rsidRDefault="00032ED3" w:rsidP="00032ED3">
      <w:pPr>
        <w:widowControl/>
        <w:rPr>
          <w:lang w:eastAsia="en-AU" w:bidi="ar-SA"/>
        </w:rPr>
      </w:pPr>
      <w:r w:rsidRPr="00032ED3">
        <w:t xml:space="preserve">However, </w:t>
      </w:r>
      <w:r w:rsidR="0007644D">
        <w:t>the Code</w:t>
      </w:r>
      <w:r w:rsidRPr="00032ED3">
        <w:t xml:space="preserve"> requires information relating to foods produced using gene technology to be on labelling for food sold to a caterer</w:t>
      </w:r>
      <w:r w:rsidR="003C48F0">
        <w:rPr>
          <w:rStyle w:val="FootnoteReference"/>
        </w:rPr>
        <w:footnoteReference w:id="13"/>
      </w:r>
      <w:r w:rsidR="0007644D">
        <w:t xml:space="preserve"> (</w:t>
      </w:r>
      <w:r w:rsidR="0007644D" w:rsidRPr="00032ED3">
        <w:t>paragraph 1.2.1—15(f) of Standard 1.2.1</w:t>
      </w:r>
      <w:r w:rsidR="0007644D">
        <w:t>)</w:t>
      </w:r>
      <w:r w:rsidRPr="00032ED3">
        <w:t>. Consequently, in relation</w:t>
      </w:r>
      <w:r w:rsidR="00BA31E3" w:rsidRPr="00BA31E3">
        <w:t xml:space="preserve"> to such food, a consumer may seek information about the food from the food business.</w:t>
      </w:r>
    </w:p>
    <w:p w14:paraId="6F07F367" w14:textId="2BF69CA4" w:rsidR="000A5E22" w:rsidRDefault="003F4065" w:rsidP="000A5E22">
      <w:pPr>
        <w:pStyle w:val="Heading3"/>
      </w:pPr>
      <w:bookmarkStart w:id="108" w:name="_Toc41576661"/>
      <w:bookmarkStart w:id="109" w:name="_Toc42875224"/>
      <w:bookmarkStart w:id="110" w:name="_Toc43128129"/>
      <w:r>
        <w:t>3.</w:t>
      </w:r>
      <w:r w:rsidR="000E7C43">
        <w:t>2.4</w:t>
      </w:r>
      <w:r w:rsidR="000A5E22">
        <w:tab/>
      </w:r>
      <w:r w:rsidR="00B82077">
        <w:t>N</w:t>
      </w:r>
      <w:r w:rsidR="000A5E22">
        <w:t>utrition information</w:t>
      </w:r>
      <w:bookmarkEnd w:id="105"/>
      <w:bookmarkEnd w:id="108"/>
      <w:bookmarkEnd w:id="109"/>
      <w:bookmarkEnd w:id="110"/>
    </w:p>
    <w:p w14:paraId="1D21E299" w14:textId="59F36795" w:rsidR="00961144" w:rsidRDefault="00900C3E" w:rsidP="00900C3E">
      <w:pPr>
        <w:widowControl/>
        <w:rPr>
          <w:lang w:eastAsia="en-AU" w:bidi="ar-SA"/>
        </w:rPr>
      </w:pPr>
      <w:r>
        <w:rPr>
          <w:lang w:eastAsia="en-AU" w:bidi="ar-SA"/>
        </w:rPr>
        <w:t xml:space="preserve">Standard 1.2.8 – </w:t>
      </w:r>
      <w:r w:rsidRPr="00FC4256">
        <w:rPr>
          <w:i/>
          <w:lang w:eastAsia="en-AU" w:bidi="ar-SA"/>
        </w:rPr>
        <w:t>Nutrition information requirements</w:t>
      </w:r>
      <w:r>
        <w:rPr>
          <w:lang w:eastAsia="en-AU" w:bidi="ar-SA"/>
        </w:rPr>
        <w:t xml:space="preserve"> </w:t>
      </w:r>
      <w:r w:rsidR="009A043F">
        <w:rPr>
          <w:lang w:eastAsia="en-AU" w:bidi="ar-SA"/>
        </w:rPr>
        <w:t>sets out requirements for</w:t>
      </w:r>
      <w:r w:rsidR="00B20F87">
        <w:rPr>
          <w:lang w:eastAsia="en-AU" w:bidi="ar-SA"/>
        </w:rPr>
        <w:t xml:space="preserve"> a</w:t>
      </w:r>
      <w:r>
        <w:rPr>
          <w:lang w:eastAsia="en-AU" w:bidi="ar-SA"/>
        </w:rPr>
        <w:t xml:space="preserve"> nutrition information panel (NIP) </w:t>
      </w:r>
      <w:r w:rsidR="009A043F">
        <w:rPr>
          <w:lang w:eastAsia="en-AU" w:bidi="ar-SA"/>
        </w:rPr>
        <w:t xml:space="preserve">to </w:t>
      </w:r>
      <w:r w:rsidR="00B20F87">
        <w:rPr>
          <w:lang w:eastAsia="en-AU" w:bidi="ar-SA"/>
        </w:rPr>
        <w:t xml:space="preserve">be provided </w:t>
      </w:r>
      <w:r>
        <w:rPr>
          <w:lang w:eastAsia="en-AU" w:bidi="ar-SA"/>
        </w:rPr>
        <w:t xml:space="preserve">on a package of food in </w:t>
      </w:r>
      <w:r w:rsidR="009A043F">
        <w:rPr>
          <w:lang w:eastAsia="en-AU" w:bidi="ar-SA"/>
        </w:rPr>
        <w:t>certain circumstances. Information that</w:t>
      </w:r>
      <w:r>
        <w:rPr>
          <w:lang w:eastAsia="en-AU" w:bidi="ar-SA"/>
        </w:rPr>
        <w:t xml:space="preserve"> must </w:t>
      </w:r>
      <w:r w:rsidR="009A043F">
        <w:rPr>
          <w:lang w:eastAsia="en-AU" w:bidi="ar-SA"/>
        </w:rPr>
        <w:t>be contained</w:t>
      </w:r>
      <w:r>
        <w:rPr>
          <w:lang w:eastAsia="en-AU" w:bidi="ar-SA"/>
        </w:rPr>
        <w:t xml:space="preserve"> in </w:t>
      </w:r>
      <w:r w:rsidR="009A043F">
        <w:rPr>
          <w:lang w:eastAsia="en-AU" w:bidi="ar-SA"/>
        </w:rPr>
        <w:t>an NIP include (among other things)</w:t>
      </w:r>
      <w:r w:rsidR="00B20F87">
        <w:rPr>
          <w:lang w:eastAsia="en-AU" w:bidi="ar-SA"/>
        </w:rPr>
        <w:t xml:space="preserve"> the average energy content and average quantity of protein, carbohydrate, sugars, fat and sodium in a serving of the food and a unit quantity of the food. The addition </w:t>
      </w:r>
      <w:r w:rsidR="00B20F87" w:rsidRPr="00FC4256">
        <w:rPr>
          <w:lang w:eastAsia="en-AU" w:bidi="ar-SA"/>
        </w:rPr>
        <w:t xml:space="preserve">of soy leghemoglobin </w:t>
      </w:r>
      <w:r w:rsidR="00B20F87">
        <w:rPr>
          <w:lang w:eastAsia="en-AU" w:bidi="ar-SA"/>
        </w:rPr>
        <w:t>would contribute to the iron content of meat analogue products. There is no requirement for iron to be declared in the NIP of a packaged meat analogue product unless a nutrition content claim or health claim is made (</w:t>
      </w:r>
      <w:r w:rsidR="009A043F">
        <w:rPr>
          <w:lang w:eastAsia="en-AU" w:bidi="ar-SA"/>
        </w:rPr>
        <w:t>see</w:t>
      </w:r>
      <w:r>
        <w:rPr>
          <w:lang w:eastAsia="en-AU" w:bidi="ar-SA"/>
        </w:rPr>
        <w:t xml:space="preserve"> subparagraph 1.2.8—6(1)(d)(iv</w:t>
      </w:r>
      <w:r w:rsidR="00B20F87">
        <w:rPr>
          <w:lang w:eastAsia="en-AU" w:bidi="ar-SA"/>
        </w:rPr>
        <w:t>)).</w:t>
      </w:r>
    </w:p>
    <w:p w14:paraId="0C391054" w14:textId="6C007F6B" w:rsidR="000A5E22" w:rsidRDefault="003F4065" w:rsidP="000A5E22">
      <w:pPr>
        <w:pStyle w:val="Heading3"/>
      </w:pPr>
      <w:bookmarkStart w:id="111" w:name="_Toc26980505"/>
      <w:bookmarkStart w:id="112" w:name="_Toc41576662"/>
      <w:bookmarkStart w:id="113" w:name="_Toc42875225"/>
      <w:bookmarkStart w:id="114" w:name="_Toc43128130"/>
      <w:r>
        <w:t>3.</w:t>
      </w:r>
      <w:r w:rsidR="00E20E50">
        <w:t>2</w:t>
      </w:r>
      <w:r w:rsidR="000A5E22">
        <w:t>.</w:t>
      </w:r>
      <w:r w:rsidR="00E20E50">
        <w:t>5</w:t>
      </w:r>
      <w:r w:rsidR="000A5E22">
        <w:tab/>
      </w:r>
      <w:r w:rsidR="00B82077">
        <w:t>N</w:t>
      </w:r>
      <w:r w:rsidR="00777093">
        <w:t>utrition content and health claims</w:t>
      </w:r>
      <w:bookmarkEnd w:id="111"/>
      <w:bookmarkEnd w:id="112"/>
      <w:bookmarkEnd w:id="113"/>
      <w:bookmarkEnd w:id="114"/>
      <w:r w:rsidR="000A5E22">
        <w:t xml:space="preserve"> </w:t>
      </w:r>
    </w:p>
    <w:p w14:paraId="6F07D791" w14:textId="2D55D676" w:rsidR="00C75F69" w:rsidRPr="00C75F69" w:rsidRDefault="00C75F69" w:rsidP="00C75F69">
      <w:pPr>
        <w:widowControl/>
        <w:rPr>
          <w:rFonts w:cs="Arial"/>
        </w:rPr>
      </w:pPr>
      <w:r w:rsidRPr="00C75F69">
        <w:rPr>
          <w:rFonts w:cs="Arial"/>
        </w:rPr>
        <w:t xml:space="preserve">Existing requirements and conditions for making voluntary nutrition content and health claims are set out in Standard 1.2.7 – </w:t>
      </w:r>
      <w:r w:rsidRPr="00C75F69">
        <w:rPr>
          <w:rFonts w:cs="Arial"/>
          <w:i/>
        </w:rPr>
        <w:t>Nutrition, health and related claims</w:t>
      </w:r>
      <w:r w:rsidRPr="00C75F69">
        <w:rPr>
          <w:rFonts w:cs="Arial"/>
        </w:rPr>
        <w:t xml:space="preserve"> and </w:t>
      </w:r>
      <w:r w:rsidR="00661337">
        <w:rPr>
          <w:rFonts w:cs="Arial"/>
        </w:rPr>
        <w:t>Schedule 4 of the Code</w:t>
      </w:r>
      <w:r w:rsidRPr="00C75F69">
        <w:rPr>
          <w:rFonts w:cs="Arial"/>
        </w:rPr>
        <w:t xml:space="preserve">. These requirements and conditions would apply to meat analogue products containing soy leghemoglobin as an ingredient. </w:t>
      </w:r>
    </w:p>
    <w:p w14:paraId="1AE5CB04" w14:textId="77777777" w:rsidR="00C75F69" w:rsidRPr="00C75F69" w:rsidRDefault="00C75F69" w:rsidP="00C75F69">
      <w:pPr>
        <w:widowControl/>
        <w:rPr>
          <w:rFonts w:cs="Arial"/>
        </w:rPr>
      </w:pPr>
    </w:p>
    <w:p w14:paraId="7CAA1D4F" w14:textId="31488520" w:rsidR="00C75F69" w:rsidRPr="00C75F69" w:rsidRDefault="003C48F0" w:rsidP="00C75F69">
      <w:pPr>
        <w:widowControl/>
        <w:rPr>
          <w:rFonts w:cs="Arial"/>
        </w:rPr>
      </w:pPr>
      <w:r>
        <w:rPr>
          <w:rFonts w:cs="Arial"/>
        </w:rPr>
        <w:t xml:space="preserve">As noted in </w:t>
      </w:r>
      <w:r w:rsidR="0067305B">
        <w:rPr>
          <w:rFonts w:cs="Arial"/>
        </w:rPr>
        <w:t xml:space="preserve">Section </w:t>
      </w:r>
      <w:r>
        <w:rPr>
          <w:rFonts w:cs="Arial"/>
        </w:rPr>
        <w:t>3.2.4 above, t</w:t>
      </w:r>
      <w:r w:rsidR="00C75F69" w:rsidRPr="00C75F69">
        <w:rPr>
          <w:rFonts w:cs="Arial"/>
        </w:rPr>
        <w:t xml:space="preserve">he addition of soy leghemoglobin </w:t>
      </w:r>
      <w:r w:rsidR="00C75F69" w:rsidRPr="00C75F69">
        <w:rPr>
          <w:lang w:eastAsia="en-AU" w:bidi="ar-SA"/>
        </w:rPr>
        <w:t xml:space="preserve">would </w:t>
      </w:r>
      <w:r w:rsidR="00C75F69" w:rsidRPr="00C75F69">
        <w:rPr>
          <w:rFonts w:cs="Arial"/>
        </w:rPr>
        <w:t xml:space="preserve">contribute to the total iron content of meat analogue products. Based on the amount of iron indicated by the applicant </w:t>
      </w:r>
      <w:r w:rsidR="00815D6D">
        <w:rPr>
          <w:rFonts w:cs="Arial"/>
        </w:rPr>
        <w:t xml:space="preserve">as </w:t>
      </w:r>
      <w:r w:rsidR="00C75F69" w:rsidRPr="00C75F69">
        <w:rPr>
          <w:rFonts w:cs="Arial"/>
        </w:rPr>
        <w:t xml:space="preserve">contributed </w:t>
      </w:r>
      <w:r w:rsidR="00815D6D">
        <w:rPr>
          <w:rFonts w:cs="Arial"/>
        </w:rPr>
        <w:t>from</w:t>
      </w:r>
      <w:r w:rsidR="00815D6D" w:rsidRPr="00C75F69">
        <w:rPr>
          <w:rFonts w:cs="Arial"/>
        </w:rPr>
        <w:t xml:space="preserve"> </w:t>
      </w:r>
      <w:r w:rsidR="00C75F69" w:rsidRPr="00C75F69">
        <w:rPr>
          <w:rFonts w:cs="Arial"/>
        </w:rPr>
        <w:t xml:space="preserve">soy leghemoglobin, meat analogue products may meet the requirements for making a ‘ source of’ or ‘good source of iron’ nutrition content claim. </w:t>
      </w:r>
    </w:p>
    <w:p w14:paraId="25335D22" w14:textId="77777777" w:rsidR="00FD0231" w:rsidRPr="00C75F69" w:rsidRDefault="00FD0231" w:rsidP="00FD0231">
      <w:pPr>
        <w:widowControl/>
        <w:rPr>
          <w:rFonts w:cs="Arial"/>
        </w:rPr>
      </w:pPr>
    </w:p>
    <w:p w14:paraId="3E889786" w14:textId="4D1DB408" w:rsidR="00C75F69" w:rsidRPr="00C75F69" w:rsidRDefault="00FD0231" w:rsidP="00C75F69">
      <w:pPr>
        <w:widowControl/>
        <w:rPr>
          <w:rFonts w:cs="Arial"/>
        </w:rPr>
      </w:pPr>
      <w:r w:rsidRPr="00FD0231">
        <w:rPr>
          <w:lang w:eastAsia="en-AU" w:bidi="ar-SA"/>
        </w:rPr>
        <w:t xml:space="preserve">Food that meets the general claim conditions for making nutrition content claims about certain properties of food, may also be eligible to make </w:t>
      </w:r>
      <w:r w:rsidR="00C75F69" w:rsidRPr="00C75F69">
        <w:rPr>
          <w:lang w:eastAsia="en-AU" w:bidi="ar-SA"/>
        </w:rPr>
        <w:t xml:space="preserve">a general level health claim. Section S4—5 lists the conditions for permitted general level health claims for properties of food, including iron. General level health claims are also subject to other conditions in Standard 1.2.7 and include the requirement for a systematic review to substantiate a food-health relationship that is not already mentioned in </w:t>
      </w:r>
      <w:r w:rsidR="00661337">
        <w:rPr>
          <w:lang w:eastAsia="en-AU" w:bidi="ar-SA"/>
        </w:rPr>
        <w:t>s</w:t>
      </w:r>
      <w:r w:rsidR="00661337" w:rsidRPr="00C75F69">
        <w:rPr>
          <w:lang w:eastAsia="en-AU" w:bidi="ar-SA"/>
        </w:rPr>
        <w:t xml:space="preserve">ection </w:t>
      </w:r>
      <w:r w:rsidR="00C75F69" w:rsidRPr="00C75F69">
        <w:rPr>
          <w:lang w:eastAsia="en-AU" w:bidi="ar-SA"/>
        </w:rPr>
        <w:t xml:space="preserve">S4—5. </w:t>
      </w:r>
    </w:p>
    <w:p w14:paraId="1929D609" w14:textId="77777777" w:rsidR="00C75F69" w:rsidRPr="00C75F69" w:rsidRDefault="00C75F69" w:rsidP="00C75F69">
      <w:pPr>
        <w:widowControl/>
        <w:rPr>
          <w:rFonts w:cs="Arial"/>
        </w:rPr>
      </w:pPr>
    </w:p>
    <w:p w14:paraId="7504CF63" w14:textId="77777777" w:rsidR="00C75F69" w:rsidRPr="00C75F69" w:rsidRDefault="00C75F69" w:rsidP="00C75F69">
      <w:pPr>
        <w:widowControl/>
        <w:rPr>
          <w:rFonts w:cs="Arial"/>
        </w:rPr>
      </w:pPr>
      <w:r w:rsidRPr="00C75F69">
        <w:rPr>
          <w:rFonts w:cs="Arial"/>
        </w:rPr>
        <w:t>High level health claims must be based on a food-health relationship pre-approved by FSANZ. Section S4—4 lists</w:t>
      </w:r>
      <w:r w:rsidR="00FD0231" w:rsidRPr="00C75F69">
        <w:rPr>
          <w:rFonts w:cs="Arial"/>
        </w:rPr>
        <w:t xml:space="preserve"> the permitted </w:t>
      </w:r>
      <w:r w:rsidRPr="00C75F69">
        <w:rPr>
          <w:rFonts w:cs="Arial"/>
        </w:rPr>
        <w:t>high level health claims and relevant conditions that must be met by suppliers.</w:t>
      </w:r>
    </w:p>
    <w:p w14:paraId="54950B0A" w14:textId="77777777" w:rsidR="00C75F69" w:rsidRPr="00C75F69" w:rsidRDefault="00C75F69" w:rsidP="00C75F69">
      <w:pPr>
        <w:widowControl/>
        <w:rPr>
          <w:rFonts w:cs="Arial"/>
        </w:rPr>
      </w:pPr>
    </w:p>
    <w:p w14:paraId="4FEFDDFF" w14:textId="74D5650F" w:rsidR="00C75F69" w:rsidRDefault="00FD0231" w:rsidP="00C75F69">
      <w:pPr>
        <w:widowControl/>
        <w:rPr>
          <w:rFonts w:cs="Arial"/>
        </w:rPr>
      </w:pPr>
      <w:r w:rsidRPr="00FD0231">
        <w:rPr>
          <w:rFonts w:cs="Arial"/>
        </w:rPr>
        <w:t>The onus is on the supplier to determine whether their food product meets the conditions and requirements before making a nutrition content claim or a health claim.</w:t>
      </w:r>
    </w:p>
    <w:p w14:paraId="0D3DD4B7" w14:textId="76D6F37B" w:rsidR="00972040" w:rsidRPr="002C2F8F" w:rsidRDefault="003F4065" w:rsidP="006D5DBB">
      <w:pPr>
        <w:pStyle w:val="Heading4"/>
      </w:pPr>
      <w:bookmarkStart w:id="115" w:name="_Toc41576663"/>
      <w:bookmarkStart w:id="116" w:name="_Toc42875226"/>
      <w:r w:rsidRPr="002C2F8F">
        <w:lastRenderedPageBreak/>
        <w:t>3.</w:t>
      </w:r>
      <w:r w:rsidR="00E20E50" w:rsidRPr="002C2F8F">
        <w:t>2.5.</w:t>
      </w:r>
      <w:r w:rsidR="00176222" w:rsidRPr="002C2F8F">
        <w:t>1</w:t>
      </w:r>
      <w:r w:rsidR="008815B9" w:rsidRPr="002C2F8F">
        <w:tab/>
      </w:r>
      <w:r w:rsidR="00467152" w:rsidRPr="002C2F8F">
        <w:t xml:space="preserve">Restrictions on </w:t>
      </w:r>
      <w:r w:rsidR="0072074D" w:rsidRPr="002C2F8F">
        <w:t xml:space="preserve">nutrition content </w:t>
      </w:r>
      <w:r w:rsidR="00467152" w:rsidRPr="002C2F8F">
        <w:t>claims in relation to vitamins and minerals added to foods</w:t>
      </w:r>
      <w:bookmarkEnd w:id="115"/>
      <w:bookmarkEnd w:id="116"/>
    </w:p>
    <w:p w14:paraId="68CC1792" w14:textId="2769B6EE" w:rsidR="00024D45" w:rsidRDefault="00431BD1" w:rsidP="00467152">
      <w:pPr>
        <w:widowControl/>
        <w:rPr>
          <w:rFonts w:cs="Arial"/>
        </w:rPr>
      </w:pPr>
      <w:r>
        <w:rPr>
          <w:rFonts w:cs="Arial"/>
        </w:rPr>
        <w:t>Section 1.3.2—4 of Stand</w:t>
      </w:r>
      <w:r w:rsidR="004E1280">
        <w:rPr>
          <w:rFonts w:cs="Arial"/>
        </w:rPr>
        <w:t xml:space="preserve">ard 1.3.2 – </w:t>
      </w:r>
      <w:r w:rsidR="00AE384A" w:rsidRPr="004E1280">
        <w:rPr>
          <w:rFonts w:cs="Arial"/>
          <w:i/>
        </w:rPr>
        <w:t>Vitamins and minerals</w:t>
      </w:r>
      <w:r w:rsidR="00AE384A">
        <w:rPr>
          <w:rFonts w:cs="Arial"/>
        </w:rPr>
        <w:t xml:space="preserve"> </w:t>
      </w:r>
      <w:r w:rsidR="00467152">
        <w:rPr>
          <w:rFonts w:cs="Arial"/>
        </w:rPr>
        <w:t xml:space="preserve">applies if a vitamin or mineral has been used as a nutritive substance in a food listed </w:t>
      </w:r>
      <w:r w:rsidR="004E1280">
        <w:rPr>
          <w:rFonts w:cs="Arial"/>
        </w:rPr>
        <w:t xml:space="preserve">in </w:t>
      </w:r>
      <w:r w:rsidR="00F7122D">
        <w:rPr>
          <w:rFonts w:cs="Arial"/>
        </w:rPr>
        <w:t xml:space="preserve">section </w:t>
      </w:r>
      <w:r w:rsidR="004E1280">
        <w:rPr>
          <w:rFonts w:cs="Arial"/>
        </w:rPr>
        <w:t xml:space="preserve">S17—4. </w:t>
      </w:r>
    </w:p>
    <w:p w14:paraId="5207F1EF" w14:textId="77777777" w:rsidR="00024D45" w:rsidRDefault="00024D45" w:rsidP="00467152">
      <w:pPr>
        <w:widowControl/>
        <w:rPr>
          <w:rFonts w:cs="Arial"/>
        </w:rPr>
      </w:pPr>
    </w:p>
    <w:p w14:paraId="0ADCCC4B" w14:textId="357D76D3" w:rsidR="00C1279B" w:rsidRDefault="00467152" w:rsidP="00467152">
      <w:pPr>
        <w:widowControl/>
        <w:rPr>
          <w:rFonts w:cs="Arial"/>
        </w:rPr>
      </w:pPr>
      <w:r>
        <w:rPr>
          <w:rFonts w:cs="Arial"/>
        </w:rPr>
        <w:t xml:space="preserve">This </w:t>
      </w:r>
      <w:r w:rsidR="00902E6C">
        <w:rPr>
          <w:rFonts w:cs="Arial"/>
        </w:rPr>
        <w:t>s</w:t>
      </w:r>
      <w:r w:rsidR="0067305B">
        <w:rPr>
          <w:rFonts w:cs="Arial"/>
        </w:rPr>
        <w:t xml:space="preserve">ection </w:t>
      </w:r>
      <w:r w:rsidR="0073170A">
        <w:rPr>
          <w:rFonts w:cs="Arial"/>
        </w:rPr>
        <w:t xml:space="preserve">states a claim must not be made that the percentage </w:t>
      </w:r>
      <w:r w:rsidR="0075213F">
        <w:rPr>
          <w:rFonts w:cs="Arial"/>
        </w:rPr>
        <w:t xml:space="preserve">(%) </w:t>
      </w:r>
      <w:r w:rsidR="0073170A">
        <w:rPr>
          <w:rFonts w:cs="Arial"/>
        </w:rPr>
        <w:t>RDI of the vitamin or mineral</w:t>
      </w:r>
      <w:r w:rsidR="007A6B5E">
        <w:rPr>
          <w:rFonts w:cs="Arial"/>
        </w:rPr>
        <w:t xml:space="preserve"> (including the amount added and the amount naturally present)</w:t>
      </w:r>
      <w:r w:rsidR="0073170A">
        <w:rPr>
          <w:rFonts w:cs="Arial"/>
        </w:rPr>
        <w:t xml:space="preserve"> in a reference quantity of food is greater than the percentage that is specified as the maximum </w:t>
      </w:r>
      <w:r w:rsidR="0075213F">
        <w:rPr>
          <w:rFonts w:cs="Arial"/>
        </w:rPr>
        <w:t>%</w:t>
      </w:r>
      <w:r w:rsidR="0073170A">
        <w:rPr>
          <w:rFonts w:cs="Arial"/>
        </w:rPr>
        <w:t xml:space="preserve"> RDI claim for that vitamin or mineral in the table to </w:t>
      </w:r>
      <w:r w:rsidR="00F7122D">
        <w:rPr>
          <w:rFonts w:cs="Arial"/>
        </w:rPr>
        <w:t xml:space="preserve">section </w:t>
      </w:r>
      <w:r w:rsidR="0073170A">
        <w:rPr>
          <w:rFonts w:cs="Arial"/>
        </w:rPr>
        <w:t xml:space="preserve">S17—4. </w:t>
      </w:r>
      <w:r w:rsidR="00DF55E3">
        <w:rPr>
          <w:rFonts w:cs="Arial"/>
        </w:rPr>
        <w:t>Section</w:t>
      </w:r>
      <w:r w:rsidR="0073170A">
        <w:rPr>
          <w:rFonts w:cs="Arial"/>
        </w:rPr>
        <w:t xml:space="preserve"> </w:t>
      </w:r>
      <w:r w:rsidR="000173DD">
        <w:rPr>
          <w:rFonts w:cs="Arial"/>
        </w:rPr>
        <w:t xml:space="preserve">S17—4 sets out the permitted uses of </w:t>
      </w:r>
      <w:r w:rsidR="000916E6">
        <w:rPr>
          <w:rFonts w:cs="Arial"/>
        </w:rPr>
        <w:t>particular</w:t>
      </w:r>
      <w:r w:rsidR="000173DD">
        <w:rPr>
          <w:rFonts w:cs="Arial"/>
        </w:rPr>
        <w:t xml:space="preserve"> vitamins and minerals for </w:t>
      </w:r>
      <w:r w:rsidR="00661337">
        <w:rPr>
          <w:rFonts w:cs="Arial"/>
        </w:rPr>
        <w:t xml:space="preserve">various types of food, including </w:t>
      </w:r>
      <w:r w:rsidR="004E1280">
        <w:rPr>
          <w:rFonts w:cs="Arial"/>
        </w:rPr>
        <w:t>‘</w:t>
      </w:r>
      <w:r w:rsidR="000173DD">
        <w:rPr>
          <w:rFonts w:cs="Arial"/>
        </w:rPr>
        <w:t>analogues of meat</w:t>
      </w:r>
      <w:r w:rsidR="004E1280">
        <w:rPr>
          <w:rFonts w:cs="Arial"/>
        </w:rPr>
        <w:t>’</w:t>
      </w:r>
      <w:r w:rsidR="000173DD">
        <w:rPr>
          <w:rFonts w:cs="Arial"/>
        </w:rPr>
        <w:t>.</w:t>
      </w:r>
    </w:p>
    <w:p w14:paraId="2CC4EA77" w14:textId="77777777" w:rsidR="00C1279B" w:rsidRDefault="00C1279B" w:rsidP="00467152">
      <w:pPr>
        <w:widowControl/>
        <w:rPr>
          <w:rFonts w:cs="Arial"/>
        </w:rPr>
      </w:pPr>
    </w:p>
    <w:p w14:paraId="12CFFAE7" w14:textId="45B4A076" w:rsidR="007A6B5E" w:rsidRDefault="00C1279B" w:rsidP="00467152">
      <w:pPr>
        <w:widowControl/>
        <w:rPr>
          <w:rFonts w:cs="Arial"/>
        </w:rPr>
      </w:pPr>
      <w:r w:rsidRPr="007A6B5E">
        <w:rPr>
          <w:rFonts w:cs="Arial"/>
        </w:rPr>
        <w:t xml:space="preserve">Depending on </w:t>
      </w:r>
      <w:r w:rsidR="000916E6">
        <w:rPr>
          <w:rFonts w:cs="Arial"/>
        </w:rPr>
        <w:t>the</w:t>
      </w:r>
      <w:r w:rsidRPr="007A6B5E">
        <w:rPr>
          <w:rFonts w:cs="Arial"/>
        </w:rPr>
        <w:t xml:space="preserve"> serving size</w:t>
      </w:r>
      <w:r>
        <w:rPr>
          <w:rFonts w:cs="Arial"/>
        </w:rPr>
        <w:t xml:space="preserve"> of the meat analogue product</w:t>
      </w:r>
      <w:r w:rsidRPr="007A6B5E">
        <w:rPr>
          <w:rFonts w:cs="Arial"/>
        </w:rPr>
        <w:t>, the amount of iron present and whether claim conditions have been met, a %</w:t>
      </w:r>
      <w:r w:rsidR="0075213F">
        <w:rPr>
          <w:rFonts w:cs="Arial"/>
        </w:rPr>
        <w:t xml:space="preserve"> </w:t>
      </w:r>
      <w:r w:rsidRPr="007A6B5E">
        <w:rPr>
          <w:rFonts w:cs="Arial"/>
        </w:rPr>
        <w:t xml:space="preserve">RDI declaration </w:t>
      </w:r>
      <w:r w:rsidR="00C3550A">
        <w:rPr>
          <w:rFonts w:cs="Arial"/>
        </w:rPr>
        <w:t>must</w:t>
      </w:r>
      <w:r>
        <w:rPr>
          <w:rFonts w:cs="Arial"/>
        </w:rPr>
        <w:t xml:space="preserve"> </w:t>
      </w:r>
      <w:r w:rsidRPr="007A6B5E">
        <w:rPr>
          <w:rFonts w:cs="Arial"/>
        </w:rPr>
        <w:t>be made in the NIP when a ‘</w:t>
      </w:r>
      <w:r w:rsidR="000916E6">
        <w:rPr>
          <w:rFonts w:cs="Arial"/>
        </w:rPr>
        <w:t xml:space="preserve">source of’ or </w:t>
      </w:r>
      <w:r w:rsidRPr="007A6B5E">
        <w:rPr>
          <w:rFonts w:cs="Arial"/>
        </w:rPr>
        <w:t>‘good source of iron’ nutrition content claim is made elsewhere on the label.</w:t>
      </w:r>
    </w:p>
    <w:p w14:paraId="767B34E0" w14:textId="7E167B57" w:rsidR="004B4689" w:rsidRDefault="00B755F5" w:rsidP="00B755F5">
      <w:pPr>
        <w:pStyle w:val="Heading3"/>
      </w:pPr>
      <w:bookmarkStart w:id="117" w:name="_Toc41576664"/>
      <w:bookmarkStart w:id="118" w:name="_Toc42875227"/>
      <w:bookmarkStart w:id="119" w:name="_Toc43128131"/>
      <w:r>
        <w:t>3.</w:t>
      </w:r>
      <w:r w:rsidR="00E20E50">
        <w:t>2.6</w:t>
      </w:r>
      <w:r w:rsidR="004B4689">
        <w:tab/>
      </w:r>
      <w:r w:rsidR="000E6B8F">
        <w:t>R</w:t>
      </w:r>
      <w:r w:rsidR="0074279F">
        <w:t>epresentations</w:t>
      </w:r>
      <w:bookmarkEnd w:id="117"/>
      <w:bookmarkEnd w:id="118"/>
      <w:bookmarkEnd w:id="119"/>
    </w:p>
    <w:p w14:paraId="3E48D423" w14:textId="238894D3" w:rsidR="00914450" w:rsidRDefault="00914450" w:rsidP="00972040">
      <w:pPr>
        <w:pStyle w:val="Heading4"/>
      </w:pPr>
      <w:r>
        <w:rPr>
          <w:lang w:eastAsia="en-AU"/>
        </w:rPr>
        <w:t>3.</w:t>
      </w:r>
      <w:r w:rsidR="00E20E50">
        <w:rPr>
          <w:lang w:eastAsia="en-AU"/>
        </w:rPr>
        <w:t>2.6.1</w:t>
      </w:r>
      <w:r w:rsidR="0024676A">
        <w:rPr>
          <w:lang w:eastAsia="en-AU"/>
        </w:rPr>
        <w:tab/>
      </w:r>
      <w:r w:rsidR="00230439">
        <w:rPr>
          <w:lang w:eastAsia="en-AU"/>
        </w:rPr>
        <w:t>Marketing of meat analogue products</w:t>
      </w:r>
    </w:p>
    <w:p w14:paraId="22CAC803" w14:textId="689CF12C" w:rsidR="00230439" w:rsidRDefault="00230439" w:rsidP="00230439">
      <w:pPr>
        <w:widowControl/>
        <w:spacing w:after="120"/>
        <w:rPr>
          <w:rFonts w:eastAsiaTheme="minorHAnsi" w:cs="Arial"/>
          <w:i/>
          <w:lang w:val="en-NZ" w:bidi="ar-SA"/>
        </w:rPr>
      </w:pPr>
      <w:r w:rsidRPr="00230439">
        <w:rPr>
          <w:rFonts w:eastAsiaTheme="minorHAnsi" w:cs="Arial"/>
          <w:lang w:val="en-NZ" w:bidi="ar-SA"/>
        </w:rPr>
        <w:t>The Code requires that, unless prescribed, the name of the food must be sufficient to indicate the true nature of the food</w:t>
      </w:r>
      <w:r>
        <w:rPr>
          <w:rFonts w:eastAsiaTheme="minorHAnsi" w:cs="Arial"/>
          <w:lang w:val="en-NZ" w:bidi="ar-SA"/>
        </w:rPr>
        <w:t xml:space="preserve"> (</w:t>
      </w:r>
      <w:r w:rsidR="00371543">
        <w:rPr>
          <w:rFonts w:eastAsiaTheme="minorHAnsi" w:cs="Arial"/>
          <w:lang w:val="en-NZ" w:bidi="ar-SA"/>
        </w:rPr>
        <w:t>paragraph</w:t>
      </w:r>
      <w:r>
        <w:rPr>
          <w:rFonts w:eastAsiaTheme="minorHAnsi" w:cs="Arial"/>
          <w:lang w:val="en-NZ" w:bidi="ar-SA"/>
        </w:rPr>
        <w:t xml:space="preserve"> 1.2.2—2(1)</w:t>
      </w:r>
      <w:r w:rsidR="00371543">
        <w:rPr>
          <w:rFonts w:eastAsiaTheme="minorHAnsi" w:cs="Arial"/>
          <w:lang w:val="en-NZ" w:bidi="ar-SA"/>
        </w:rPr>
        <w:t>(b)</w:t>
      </w:r>
      <w:r w:rsidRPr="00DE4B75">
        <w:rPr>
          <w:rFonts w:eastAsiaTheme="minorHAnsi" w:cs="Arial"/>
          <w:lang w:val="en-NZ" w:bidi="ar-SA"/>
        </w:rPr>
        <w:t>)</w:t>
      </w:r>
      <w:r w:rsidRPr="00230439">
        <w:rPr>
          <w:rFonts w:eastAsiaTheme="minorHAnsi" w:cs="Arial"/>
          <w:i/>
          <w:lang w:val="en-NZ" w:bidi="ar-SA"/>
        </w:rPr>
        <w:t xml:space="preserve">. </w:t>
      </w:r>
    </w:p>
    <w:p w14:paraId="4A08863C" w14:textId="50013200" w:rsidR="008D1510" w:rsidRDefault="00230439" w:rsidP="003521C2">
      <w:pPr>
        <w:widowControl/>
        <w:spacing w:after="120"/>
        <w:rPr>
          <w:rFonts w:eastAsiaTheme="minorHAnsi" w:cs="Arial"/>
          <w:lang w:val="en-NZ" w:bidi="ar-SA"/>
        </w:rPr>
      </w:pPr>
      <w:r>
        <w:rPr>
          <w:rFonts w:eastAsiaTheme="minorHAnsi" w:cs="Arial"/>
          <w:lang w:val="en-NZ" w:bidi="ar-SA"/>
        </w:rPr>
        <w:t>S</w:t>
      </w:r>
      <w:r w:rsidR="003521C2">
        <w:rPr>
          <w:rFonts w:eastAsiaTheme="minorHAnsi" w:cs="Arial"/>
          <w:lang w:val="en-NZ" w:bidi="ar-SA"/>
        </w:rPr>
        <w:t>ubs</w:t>
      </w:r>
      <w:r>
        <w:rPr>
          <w:rFonts w:eastAsiaTheme="minorHAnsi" w:cs="Arial"/>
          <w:lang w:val="en-NZ" w:bidi="ar-SA"/>
        </w:rPr>
        <w:t>ection 1.1.1—13</w:t>
      </w:r>
      <w:r w:rsidR="003521C2">
        <w:rPr>
          <w:rFonts w:eastAsiaTheme="minorHAnsi" w:cs="Arial"/>
          <w:lang w:val="en-NZ" w:bidi="ar-SA"/>
        </w:rPr>
        <w:t>(1)</w:t>
      </w:r>
      <w:r>
        <w:rPr>
          <w:rFonts w:eastAsiaTheme="minorHAnsi" w:cs="Arial"/>
          <w:lang w:val="en-NZ" w:bidi="ar-SA"/>
        </w:rPr>
        <w:t xml:space="preserve"> </w:t>
      </w:r>
      <w:r w:rsidR="003521C2">
        <w:rPr>
          <w:rFonts w:eastAsiaTheme="minorHAnsi" w:cs="Arial"/>
          <w:lang w:val="en-NZ" w:bidi="ar-SA"/>
        </w:rPr>
        <w:t xml:space="preserve">includes </w:t>
      </w:r>
      <w:r w:rsidRPr="00230439">
        <w:rPr>
          <w:rFonts w:eastAsiaTheme="minorHAnsi" w:cs="Arial"/>
          <w:lang w:val="en-NZ" w:bidi="ar-SA"/>
        </w:rPr>
        <w:t xml:space="preserve">requirements for food sold with a specified name or representation. </w:t>
      </w:r>
      <w:r w:rsidR="00DA13E2">
        <w:rPr>
          <w:rFonts w:eastAsiaTheme="minorHAnsi" w:cs="Arial"/>
          <w:lang w:val="en-NZ" w:bidi="ar-SA"/>
        </w:rPr>
        <w:t xml:space="preserve">For example, </w:t>
      </w:r>
      <w:r w:rsidR="00233DD5">
        <w:rPr>
          <w:rFonts w:eastAsiaTheme="minorHAnsi" w:cs="Arial"/>
          <w:lang w:val="en-NZ" w:bidi="ar-SA"/>
        </w:rPr>
        <w:t xml:space="preserve">subsection 1.1.1—13(4) states that </w:t>
      </w:r>
      <w:r w:rsidR="00DA13E2">
        <w:rPr>
          <w:rFonts w:eastAsiaTheme="minorHAnsi" w:cs="Arial"/>
          <w:lang w:val="en-NZ" w:bidi="ar-SA"/>
        </w:rPr>
        <w:t>if a food name is used in connection with the sale of a food, the sale is taken to be the sale of the food as the named food, unless the context makes it clear that the intention is otherwise</w:t>
      </w:r>
      <w:r w:rsidR="003521C2">
        <w:rPr>
          <w:rFonts w:eastAsiaTheme="minorHAnsi" w:cs="Arial"/>
          <w:lang w:val="en-NZ" w:bidi="ar-SA"/>
        </w:rPr>
        <w:t xml:space="preserve"> (e.g. if </w:t>
      </w:r>
      <w:r w:rsidR="00233DD5">
        <w:rPr>
          <w:rFonts w:eastAsiaTheme="minorHAnsi" w:cs="Arial"/>
          <w:lang w:val="en-NZ" w:bidi="ar-SA"/>
        </w:rPr>
        <w:t xml:space="preserve">the </w:t>
      </w:r>
      <w:r w:rsidR="003521C2">
        <w:rPr>
          <w:rFonts w:eastAsiaTheme="minorHAnsi" w:cs="Arial"/>
          <w:lang w:val="en-NZ" w:bidi="ar-SA"/>
        </w:rPr>
        <w:t xml:space="preserve">name ‘sausage’ is used in connection with the sale of a food, </w:t>
      </w:r>
      <w:r w:rsidR="00DA13E2">
        <w:rPr>
          <w:rFonts w:eastAsiaTheme="minorHAnsi" w:cs="Arial"/>
          <w:lang w:val="en-NZ" w:bidi="ar-SA"/>
        </w:rPr>
        <w:t xml:space="preserve">it is taken that </w:t>
      </w:r>
      <w:r w:rsidR="003521C2">
        <w:rPr>
          <w:rFonts w:eastAsiaTheme="minorHAnsi" w:cs="Arial"/>
          <w:lang w:val="en-NZ" w:bidi="ar-SA"/>
        </w:rPr>
        <w:t xml:space="preserve">the food </w:t>
      </w:r>
      <w:r w:rsidR="00DA13E2">
        <w:rPr>
          <w:rFonts w:eastAsiaTheme="minorHAnsi" w:cs="Arial"/>
          <w:lang w:val="en-NZ" w:bidi="ar-SA"/>
        </w:rPr>
        <w:t>is a</w:t>
      </w:r>
      <w:r w:rsidR="003521C2">
        <w:rPr>
          <w:rFonts w:eastAsiaTheme="minorHAnsi" w:cs="Arial"/>
          <w:lang w:val="en-NZ" w:bidi="ar-SA"/>
        </w:rPr>
        <w:t xml:space="preserve"> ‘sausage’ as defined in s</w:t>
      </w:r>
      <w:r w:rsidR="00DA13E2">
        <w:rPr>
          <w:rFonts w:eastAsiaTheme="minorHAnsi" w:cs="Arial"/>
          <w:lang w:val="en-NZ" w:bidi="ar-SA"/>
        </w:rPr>
        <w:t>ubs</w:t>
      </w:r>
      <w:r w:rsidR="003521C2">
        <w:rPr>
          <w:rFonts w:eastAsiaTheme="minorHAnsi" w:cs="Arial"/>
          <w:lang w:val="en-NZ" w:bidi="ar-SA"/>
        </w:rPr>
        <w:t>ection 1.1.2—3(2) of Standard 1.1.2</w:t>
      </w:r>
      <w:r w:rsidR="00233DD5">
        <w:rPr>
          <w:rFonts w:eastAsiaTheme="minorHAnsi" w:cs="Arial"/>
          <w:lang w:val="en-NZ" w:bidi="ar-SA"/>
        </w:rPr>
        <w:t xml:space="preserve">; however, </w:t>
      </w:r>
      <w:r w:rsidR="00233DD5" w:rsidRPr="00233DD5">
        <w:rPr>
          <w:rFonts w:eastAsiaTheme="minorHAnsi" w:cs="Arial"/>
          <w:lang w:val="en-NZ" w:bidi="ar-SA"/>
        </w:rPr>
        <w:t xml:space="preserve">the context within which </w:t>
      </w:r>
      <w:r w:rsidR="00233DD5">
        <w:rPr>
          <w:rFonts w:eastAsiaTheme="minorHAnsi" w:cs="Arial"/>
          <w:lang w:val="en-NZ" w:bidi="ar-SA"/>
        </w:rPr>
        <w:t xml:space="preserve">a </w:t>
      </w:r>
      <w:r w:rsidR="00233DD5" w:rsidRPr="00233DD5">
        <w:rPr>
          <w:rFonts w:eastAsiaTheme="minorHAnsi" w:cs="Arial"/>
          <w:lang w:val="en-NZ" w:bidi="ar-SA"/>
        </w:rPr>
        <w:t>soy sausage is sold is indicated by the</w:t>
      </w:r>
      <w:r w:rsidR="00233DD5">
        <w:rPr>
          <w:rFonts w:eastAsiaTheme="minorHAnsi" w:cs="Arial"/>
          <w:lang w:val="en-NZ" w:bidi="ar-SA"/>
        </w:rPr>
        <w:t xml:space="preserve"> word</w:t>
      </w:r>
      <w:r w:rsidR="00233DD5" w:rsidRPr="00233DD5">
        <w:rPr>
          <w:rFonts w:eastAsiaTheme="minorHAnsi" w:cs="Arial"/>
          <w:lang w:val="en-NZ" w:bidi="ar-SA"/>
        </w:rPr>
        <w:t xml:space="preserve"> </w:t>
      </w:r>
      <w:r w:rsidR="00233DD5">
        <w:rPr>
          <w:rFonts w:eastAsiaTheme="minorHAnsi" w:cs="Arial"/>
          <w:lang w:val="en-NZ" w:bidi="ar-SA"/>
        </w:rPr>
        <w:t>‘</w:t>
      </w:r>
      <w:r w:rsidR="00233DD5" w:rsidRPr="00233DD5">
        <w:rPr>
          <w:rFonts w:eastAsiaTheme="minorHAnsi" w:cs="Arial"/>
          <w:lang w:val="en-NZ" w:bidi="ar-SA"/>
        </w:rPr>
        <w:t>soy</w:t>
      </w:r>
      <w:r w:rsidR="00233DD5">
        <w:rPr>
          <w:rFonts w:eastAsiaTheme="minorHAnsi" w:cs="Arial"/>
          <w:lang w:val="en-NZ" w:bidi="ar-SA"/>
        </w:rPr>
        <w:t>’ in the name of the product</w:t>
      </w:r>
      <w:r w:rsidR="00233DD5" w:rsidRPr="00233DD5">
        <w:rPr>
          <w:rFonts w:eastAsiaTheme="minorHAnsi" w:cs="Arial"/>
          <w:lang w:val="en-NZ" w:bidi="ar-SA"/>
        </w:rPr>
        <w:t xml:space="preserve">, </w:t>
      </w:r>
      <w:r w:rsidR="00233DD5">
        <w:rPr>
          <w:rFonts w:eastAsiaTheme="minorHAnsi" w:cs="Arial"/>
          <w:lang w:val="en-NZ" w:bidi="ar-SA"/>
        </w:rPr>
        <w:t>indicating</w:t>
      </w:r>
      <w:r w:rsidR="00233DD5" w:rsidRPr="00233DD5">
        <w:rPr>
          <w:rFonts w:eastAsiaTheme="minorHAnsi" w:cs="Arial"/>
          <w:lang w:val="en-NZ" w:bidi="ar-SA"/>
        </w:rPr>
        <w:t xml:space="preserve"> that the product is not a meat product to which Standard 2.2.1</w:t>
      </w:r>
      <w:r w:rsidR="00942CBA">
        <w:rPr>
          <w:rFonts w:eastAsiaTheme="minorHAnsi" w:cs="Arial"/>
          <w:lang w:val="en-NZ" w:bidi="ar-SA"/>
        </w:rPr>
        <w:t xml:space="preserve"> – </w:t>
      </w:r>
      <w:r w:rsidR="00942CBA">
        <w:rPr>
          <w:rFonts w:eastAsiaTheme="minorHAnsi" w:cs="Arial"/>
          <w:i/>
          <w:lang w:val="en-NZ" w:bidi="ar-SA"/>
        </w:rPr>
        <w:t>Meat and meat products</w:t>
      </w:r>
      <w:r w:rsidR="00233DD5">
        <w:rPr>
          <w:rFonts w:eastAsiaTheme="minorHAnsi" w:cs="Arial"/>
          <w:lang w:val="en-NZ" w:bidi="ar-SA"/>
        </w:rPr>
        <w:t xml:space="preserve"> applies</w:t>
      </w:r>
      <w:r w:rsidR="0014484F">
        <w:rPr>
          <w:rFonts w:eastAsiaTheme="minorHAnsi" w:cs="Arial"/>
          <w:lang w:val="en-NZ" w:bidi="ar-SA"/>
        </w:rPr>
        <w:t>)</w:t>
      </w:r>
      <w:r w:rsidR="00E20E50">
        <w:rPr>
          <w:rFonts w:eastAsiaTheme="minorHAnsi" w:cs="Arial"/>
          <w:lang w:val="en-NZ" w:bidi="ar-SA"/>
        </w:rPr>
        <w:t>.</w:t>
      </w:r>
      <w:r w:rsidR="003521C2">
        <w:rPr>
          <w:rFonts w:eastAsiaTheme="minorHAnsi" w:cs="Arial"/>
          <w:lang w:val="en-NZ" w:bidi="ar-SA"/>
        </w:rPr>
        <w:t xml:space="preserve"> </w:t>
      </w:r>
    </w:p>
    <w:p w14:paraId="6C2A16B6" w14:textId="06BC797E" w:rsidR="00230439" w:rsidRPr="00230439" w:rsidRDefault="00B60A8E" w:rsidP="003521C2">
      <w:pPr>
        <w:widowControl/>
        <w:spacing w:after="120"/>
        <w:rPr>
          <w:rFonts w:cs="Arial"/>
          <w:lang w:val="en-NZ" w:bidi="ar-SA"/>
        </w:rPr>
      </w:pPr>
      <w:r>
        <w:rPr>
          <w:rFonts w:cs="Arial"/>
          <w:lang w:val="en-NZ" w:bidi="ar-SA"/>
        </w:rPr>
        <w:t>R</w:t>
      </w:r>
      <w:r w:rsidR="00230439" w:rsidRPr="00230439">
        <w:rPr>
          <w:rFonts w:cs="Arial"/>
          <w:lang w:val="en-NZ" w:bidi="ar-SA"/>
        </w:rPr>
        <w:t xml:space="preserve">equirements </w:t>
      </w:r>
      <w:r>
        <w:rPr>
          <w:rFonts w:cs="Arial"/>
          <w:lang w:val="en-NZ" w:bidi="ar-SA"/>
        </w:rPr>
        <w:t xml:space="preserve">in the Code </w:t>
      </w:r>
      <w:r w:rsidR="00230439" w:rsidRPr="00230439">
        <w:rPr>
          <w:rFonts w:cs="Arial"/>
          <w:lang w:val="en-NZ" w:bidi="ar-SA"/>
        </w:rPr>
        <w:t xml:space="preserve">work in conjunction with requirements </w:t>
      </w:r>
      <w:r w:rsidR="00FE27E7">
        <w:rPr>
          <w:rFonts w:cs="Arial"/>
          <w:lang w:val="en-NZ" w:bidi="ar-SA"/>
        </w:rPr>
        <w:t>in</w:t>
      </w:r>
      <w:r w:rsidR="00FE27E7" w:rsidRPr="00230439">
        <w:rPr>
          <w:rFonts w:cs="Arial"/>
          <w:lang w:val="en-NZ" w:bidi="ar-SA"/>
        </w:rPr>
        <w:t xml:space="preserve"> </w:t>
      </w:r>
      <w:r w:rsidR="00230439" w:rsidRPr="00230439">
        <w:rPr>
          <w:rFonts w:cs="Arial"/>
          <w:lang w:val="en-NZ" w:bidi="ar-SA"/>
        </w:rPr>
        <w:t xml:space="preserve">consumer protection legislation </w:t>
      </w:r>
      <w:r w:rsidR="00FE27E7">
        <w:rPr>
          <w:rFonts w:cs="Arial"/>
          <w:lang w:val="en-NZ" w:bidi="ar-SA"/>
        </w:rPr>
        <w:t xml:space="preserve">in Australia and New Zealand </w:t>
      </w:r>
      <w:r w:rsidR="00230439" w:rsidRPr="00230439">
        <w:rPr>
          <w:rFonts w:cs="Arial"/>
          <w:lang w:val="en-NZ" w:bidi="ar-SA"/>
        </w:rPr>
        <w:t xml:space="preserve">which </w:t>
      </w:r>
      <w:r w:rsidR="00A24617">
        <w:rPr>
          <w:rFonts w:cs="Arial"/>
          <w:lang w:val="en-NZ" w:bidi="ar-SA"/>
        </w:rPr>
        <w:t xml:space="preserve">prohibit </w:t>
      </w:r>
      <w:r w:rsidR="00A24617" w:rsidRPr="00A24617">
        <w:rPr>
          <w:rFonts w:cs="Arial"/>
          <w:lang w:val="en-NZ" w:bidi="ar-SA"/>
        </w:rPr>
        <w:t>misleading or deceptive conduct</w:t>
      </w:r>
      <w:r w:rsidR="00FE27E7">
        <w:rPr>
          <w:rFonts w:cs="Arial"/>
          <w:lang w:val="en-NZ" w:bidi="ar-SA"/>
        </w:rPr>
        <w:t>,</w:t>
      </w:r>
      <w:r w:rsidR="00A24617" w:rsidRPr="00A24617">
        <w:rPr>
          <w:rFonts w:cs="Arial"/>
          <w:lang w:val="en-NZ" w:bidi="ar-SA"/>
        </w:rPr>
        <w:t xml:space="preserve"> and false or misleading representations about goods and services</w:t>
      </w:r>
      <w:r w:rsidR="00A24617">
        <w:rPr>
          <w:rFonts w:cs="Arial"/>
          <w:lang w:val="en-NZ" w:bidi="ar-SA"/>
        </w:rPr>
        <w:t xml:space="preserve">. </w:t>
      </w:r>
      <w:r w:rsidR="009A4556">
        <w:rPr>
          <w:rFonts w:cs="Arial"/>
          <w:lang w:val="en-NZ" w:bidi="ar-SA"/>
        </w:rPr>
        <w:t xml:space="preserve">In Australia, the </w:t>
      </w:r>
      <w:r w:rsidR="00942CBA">
        <w:rPr>
          <w:rFonts w:cs="Arial"/>
          <w:color w:val="222222"/>
          <w:sz w:val="21"/>
          <w:szCs w:val="21"/>
          <w:lang w:val="en-AU"/>
        </w:rPr>
        <w:t>Australian Competition and Consumer Commission (A</w:t>
      </w:r>
      <w:r w:rsidR="009A4556">
        <w:rPr>
          <w:rFonts w:cs="Arial"/>
          <w:lang w:val="en-NZ" w:bidi="ar-SA"/>
        </w:rPr>
        <w:t>CCC</w:t>
      </w:r>
      <w:r w:rsidR="00942CBA">
        <w:rPr>
          <w:rFonts w:cs="Arial"/>
          <w:lang w:val="en-NZ" w:bidi="ar-SA"/>
        </w:rPr>
        <w:t>)</w:t>
      </w:r>
      <w:r w:rsidR="009A4556">
        <w:rPr>
          <w:rFonts w:cs="Arial"/>
          <w:lang w:val="en-NZ" w:bidi="ar-SA"/>
        </w:rPr>
        <w:t xml:space="preserve"> </w:t>
      </w:r>
      <w:r w:rsidR="00A64C60">
        <w:rPr>
          <w:rFonts w:cs="Arial"/>
          <w:lang w:val="en-NZ" w:bidi="ar-SA"/>
        </w:rPr>
        <w:t xml:space="preserve">enforces </w:t>
      </w:r>
      <w:r w:rsidR="009A4556">
        <w:rPr>
          <w:rFonts w:cs="Arial"/>
          <w:lang w:val="en-NZ" w:bidi="ar-SA"/>
        </w:rPr>
        <w:t xml:space="preserve">the </w:t>
      </w:r>
      <w:r w:rsidR="00E01D5B">
        <w:rPr>
          <w:rFonts w:cs="Arial"/>
          <w:i/>
          <w:lang w:val="en-NZ" w:bidi="ar-SA"/>
        </w:rPr>
        <w:t>Competition and Consumer</w:t>
      </w:r>
      <w:r w:rsidR="009A4556" w:rsidRPr="008F76F3">
        <w:rPr>
          <w:rFonts w:cs="Arial"/>
          <w:i/>
          <w:lang w:val="en-NZ" w:bidi="ar-SA"/>
        </w:rPr>
        <w:t xml:space="preserve"> Act 2010</w:t>
      </w:r>
      <w:r w:rsidR="00FE27E7">
        <w:rPr>
          <w:rFonts w:cs="Arial"/>
          <w:i/>
          <w:lang w:val="en-NZ" w:bidi="ar-SA"/>
        </w:rPr>
        <w:t xml:space="preserve"> </w:t>
      </w:r>
      <w:r w:rsidR="00FE27E7">
        <w:rPr>
          <w:rFonts w:cs="Arial"/>
          <w:lang w:val="en-NZ" w:bidi="ar-SA"/>
        </w:rPr>
        <w:t xml:space="preserve">(Cth); and States and Territories </w:t>
      </w:r>
      <w:r w:rsidR="00A64C60">
        <w:rPr>
          <w:rFonts w:cs="Arial"/>
          <w:lang w:val="en-NZ" w:bidi="ar-SA"/>
        </w:rPr>
        <w:t xml:space="preserve">enforce </w:t>
      </w:r>
      <w:r w:rsidR="00FE27E7">
        <w:rPr>
          <w:rFonts w:cs="Arial"/>
          <w:lang w:val="en-NZ" w:bidi="ar-SA"/>
        </w:rPr>
        <w:t>their own consumer protection legislat</w:t>
      </w:r>
      <w:r w:rsidR="008F76F3">
        <w:rPr>
          <w:rFonts w:cs="Arial"/>
          <w:lang w:val="en-NZ" w:bidi="ar-SA"/>
        </w:rPr>
        <w:t>i</w:t>
      </w:r>
      <w:r w:rsidR="00FE27E7">
        <w:rPr>
          <w:rFonts w:cs="Arial"/>
          <w:lang w:val="en-NZ" w:bidi="ar-SA"/>
        </w:rPr>
        <w:t>on</w:t>
      </w:r>
      <w:r w:rsidR="009A4556">
        <w:rPr>
          <w:rFonts w:cs="Arial"/>
          <w:lang w:val="en-NZ" w:bidi="ar-SA"/>
        </w:rPr>
        <w:t xml:space="preserve">. </w:t>
      </w:r>
      <w:r w:rsidR="00FE27E7">
        <w:rPr>
          <w:rFonts w:cs="Arial"/>
          <w:lang w:val="en-NZ" w:bidi="ar-SA"/>
        </w:rPr>
        <w:t xml:space="preserve">In </w:t>
      </w:r>
      <w:r w:rsidR="00A24617">
        <w:rPr>
          <w:rFonts w:cs="Arial"/>
          <w:lang w:val="en-NZ" w:bidi="ar-SA"/>
        </w:rPr>
        <w:t>New Zealand</w:t>
      </w:r>
      <w:r w:rsidR="00FE27E7">
        <w:rPr>
          <w:rFonts w:cs="Arial"/>
          <w:lang w:val="en-NZ" w:bidi="ar-SA"/>
        </w:rPr>
        <w:t xml:space="preserve">, </w:t>
      </w:r>
      <w:r w:rsidR="00FE27E7">
        <w:t xml:space="preserve">the </w:t>
      </w:r>
      <w:r w:rsidR="00942CBA">
        <w:t>New Zealand Commerce Commission (</w:t>
      </w:r>
      <w:r w:rsidR="00FE27E7" w:rsidRPr="009A4556">
        <w:t>NZCC</w:t>
      </w:r>
      <w:r w:rsidR="00942CBA">
        <w:t>)</w:t>
      </w:r>
      <w:r w:rsidR="00FE27E7">
        <w:t xml:space="preserve"> </w:t>
      </w:r>
      <w:r w:rsidR="00953716">
        <w:t>enforce</w:t>
      </w:r>
      <w:r w:rsidR="00FE27E7">
        <w:t xml:space="preserve">s the </w:t>
      </w:r>
      <w:r w:rsidR="00A24617" w:rsidRPr="008F76F3">
        <w:rPr>
          <w:rFonts w:cs="Arial"/>
          <w:i/>
          <w:lang w:val="en-NZ" w:bidi="ar-SA"/>
        </w:rPr>
        <w:t>F</w:t>
      </w:r>
      <w:r w:rsidR="009A4556" w:rsidRPr="008F76F3">
        <w:rPr>
          <w:i/>
        </w:rPr>
        <w:t>air Trading Act 1986</w:t>
      </w:r>
      <w:r w:rsidR="00FE27E7">
        <w:rPr>
          <w:i/>
        </w:rPr>
        <w:t xml:space="preserve"> </w:t>
      </w:r>
      <w:r w:rsidR="00FE27E7">
        <w:t>(NZ)</w:t>
      </w:r>
      <w:r w:rsidR="00953716">
        <w:t xml:space="preserve"> which </w:t>
      </w:r>
      <w:r w:rsidR="00953716" w:rsidRPr="00953716">
        <w:t xml:space="preserve">prohibits false and misleading </w:t>
      </w:r>
      <w:r w:rsidR="00953716">
        <w:t>conduct</w:t>
      </w:r>
      <w:r w:rsidR="00953716" w:rsidRPr="00953716">
        <w:t xml:space="preserve"> by businesses</w:t>
      </w:r>
      <w:r w:rsidR="009A4556" w:rsidRPr="009A4556">
        <w:t>.</w:t>
      </w:r>
      <w:r w:rsidR="00A24617" w:rsidRPr="00A24617">
        <w:t xml:space="preserve"> </w:t>
      </w:r>
    </w:p>
    <w:p w14:paraId="5529A26E" w14:textId="0C60DB1C" w:rsidR="008D1510" w:rsidRPr="00DA5468" w:rsidRDefault="008D1510" w:rsidP="008D1510">
      <w:pPr>
        <w:widowControl/>
        <w:rPr>
          <w:lang w:bidi="ar-SA"/>
        </w:rPr>
      </w:pPr>
      <w:r w:rsidRPr="00DA5468">
        <w:t>FSANZ discussed the marketing of meat analogues with the ACCC and the</w:t>
      </w:r>
      <w:r w:rsidR="009A4556">
        <w:t xml:space="preserve"> NZCC</w:t>
      </w:r>
      <w:r w:rsidR="00C51527">
        <w:t xml:space="preserve"> in March and April 2020, respectively</w:t>
      </w:r>
      <w:r w:rsidR="00605FA2">
        <w:t>.</w:t>
      </w:r>
      <w:r w:rsidR="009A4556">
        <w:t xml:space="preserve"> </w:t>
      </w:r>
      <w:r w:rsidRPr="00DA5468">
        <w:t xml:space="preserve">Both agencies </w:t>
      </w:r>
      <w:r w:rsidR="002324B9">
        <w:t xml:space="preserve">said they </w:t>
      </w:r>
      <w:r>
        <w:t xml:space="preserve">have </w:t>
      </w:r>
      <w:r w:rsidRPr="00DA5468">
        <w:t xml:space="preserve">received some complaints about </w:t>
      </w:r>
      <w:r w:rsidR="00112AA0">
        <w:t xml:space="preserve">how </w:t>
      </w:r>
      <w:r w:rsidRPr="00DA5468">
        <w:t>meat analogue products</w:t>
      </w:r>
      <w:r w:rsidR="00112AA0">
        <w:t xml:space="preserve"> are being represented as meat products</w:t>
      </w:r>
      <w:r w:rsidRPr="00DA5468">
        <w:t xml:space="preserve">. </w:t>
      </w:r>
      <w:r w:rsidR="002324B9">
        <w:t>However, t</w:t>
      </w:r>
      <w:r w:rsidR="002324B9" w:rsidRPr="00DA5468">
        <w:t xml:space="preserve">he </w:t>
      </w:r>
      <w:r w:rsidRPr="00DA5468">
        <w:t xml:space="preserve">ACCC reports the majority of these complaints were from companies producing traditional meat products or rival companies which asserted that consumers were or could be misled by particular products. Very few of these complaints were </w:t>
      </w:r>
      <w:r w:rsidR="002324B9">
        <w:t xml:space="preserve">said to be </w:t>
      </w:r>
      <w:r w:rsidRPr="00DA5468">
        <w:t>from consumers who believed they had been misled.</w:t>
      </w:r>
      <w:r w:rsidR="00021FF9">
        <w:t xml:space="preserve"> NZCC did not provide specific comment on complaints received.</w:t>
      </w:r>
    </w:p>
    <w:p w14:paraId="39493319" w14:textId="77777777" w:rsidR="008D1510" w:rsidRPr="00DA5468" w:rsidRDefault="008D1510" w:rsidP="008D1510">
      <w:pPr>
        <w:widowControl/>
        <w:rPr>
          <w:rFonts w:ascii="Calibri" w:hAnsi="Calibri" w:cs="Calibri"/>
        </w:rPr>
      </w:pPr>
    </w:p>
    <w:p w14:paraId="483A1774" w14:textId="7BB45ECE" w:rsidR="008D1510" w:rsidRPr="00DA5468" w:rsidRDefault="008D1510" w:rsidP="008D1510">
      <w:pPr>
        <w:widowControl/>
        <w:rPr>
          <w:rFonts w:cs="Arial"/>
        </w:rPr>
      </w:pPr>
      <w:r w:rsidRPr="00DA5468">
        <w:rPr>
          <w:rFonts w:cs="Arial"/>
        </w:rPr>
        <w:t xml:space="preserve">When assessing a complaint, both the ACCC and NZCC </w:t>
      </w:r>
      <w:r w:rsidR="00612687">
        <w:rPr>
          <w:rFonts w:cs="Arial"/>
        </w:rPr>
        <w:t xml:space="preserve">state that they </w:t>
      </w:r>
      <w:r w:rsidRPr="00DA5468">
        <w:rPr>
          <w:rFonts w:cs="Arial"/>
        </w:rPr>
        <w:t xml:space="preserve">consider whether the overall representation of the product is misleading. For example, a product that is clearly and prominently labelled ‘vegan’, ‘vegetarian’ or ‘meat free’ is unlikely to mislead a consumer about whether the product is meat or plant based. </w:t>
      </w:r>
      <w:r w:rsidR="00E0003B">
        <w:rPr>
          <w:rFonts w:cs="Arial"/>
        </w:rPr>
        <w:t xml:space="preserve">The ACCC advise they follow a </w:t>
      </w:r>
      <w:hyperlink r:id="rId32" w:history="1">
        <w:r w:rsidR="00E0003B" w:rsidRPr="00C22390">
          <w:rPr>
            <w:rStyle w:val="Hyperlink"/>
            <w:rFonts w:cs="Arial"/>
          </w:rPr>
          <w:t>Compliance and Enforcement Policy</w:t>
        </w:r>
      </w:hyperlink>
      <w:r w:rsidR="00C22390">
        <w:rPr>
          <w:rFonts w:cs="Arial"/>
        </w:rPr>
        <w:t>, whilst t</w:t>
      </w:r>
      <w:r w:rsidRPr="00DA5468">
        <w:rPr>
          <w:rFonts w:cs="Arial"/>
        </w:rPr>
        <w:t xml:space="preserve">he NZCC </w:t>
      </w:r>
      <w:r w:rsidRPr="00DA5468">
        <w:t>advise they use</w:t>
      </w:r>
      <w:r w:rsidR="00C22390">
        <w:t xml:space="preserve"> their</w:t>
      </w:r>
      <w:r w:rsidRPr="00DA5468">
        <w:t xml:space="preserve"> </w:t>
      </w:r>
      <w:hyperlink r:id="rId33" w:history="1">
        <w:r w:rsidRPr="00DA5468">
          <w:rPr>
            <w:color w:val="0000FF"/>
            <w:u w:val="single"/>
          </w:rPr>
          <w:t>enforcement criteria</w:t>
        </w:r>
      </w:hyperlink>
      <w:r w:rsidRPr="00DA5468">
        <w:t xml:space="preserve"> to </w:t>
      </w:r>
      <w:r w:rsidRPr="00DA5468">
        <w:rPr>
          <w:lang w:val="en-NZ"/>
        </w:rPr>
        <w:t>assess complaints.</w:t>
      </w:r>
    </w:p>
    <w:p w14:paraId="77A2A104" w14:textId="77777777" w:rsidR="008D1510" w:rsidRPr="00DA5468" w:rsidRDefault="008D1510" w:rsidP="008D1510">
      <w:pPr>
        <w:widowControl/>
        <w:rPr>
          <w:rFonts w:cs="Arial"/>
        </w:rPr>
      </w:pPr>
    </w:p>
    <w:p w14:paraId="44E00849" w14:textId="19F343E4" w:rsidR="001F6A3D" w:rsidRDefault="001F6A3D" w:rsidP="00F256C8">
      <w:pPr>
        <w:widowControl/>
        <w:rPr>
          <w:lang w:eastAsia="en-AU"/>
        </w:rPr>
      </w:pPr>
      <w:r>
        <w:rPr>
          <w:lang w:eastAsia="en-AU"/>
        </w:rPr>
        <w:t>FSANZ notes t</w:t>
      </w:r>
      <w:r w:rsidRPr="001F6A3D">
        <w:rPr>
          <w:lang w:eastAsia="en-AU"/>
        </w:rPr>
        <w:t xml:space="preserve">he applicant has indicated they intend </w:t>
      </w:r>
      <w:r w:rsidR="00664296">
        <w:rPr>
          <w:lang w:eastAsia="en-AU"/>
        </w:rPr>
        <w:t xml:space="preserve">to </w:t>
      </w:r>
      <w:r w:rsidRPr="001F6A3D">
        <w:rPr>
          <w:lang w:eastAsia="en-AU"/>
        </w:rPr>
        <w:t>market their products as ‘made from plants’.</w:t>
      </w:r>
    </w:p>
    <w:p w14:paraId="068A11DA" w14:textId="77777777" w:rsidR="001F6A3D" w:rsidRDefault="001F6A3D" w:rsidP="00F256C8">
      <w:pPr>
        <w:widowControl/>
        <w:rPr>
          <w:lang w:eastAsia="en-AU"/>
        </w:rPr>
      </w:pPr>
    </w:p>
    <w:p w14:paraId="0AE5E452" w14:textId="413ADE81" w:rsidR="00DA5468" w:rsidRPr="00DA5468" w:rsidRDefault="00F256C8" w:rsidP="00F256C8">
      <w:pPr>
        <w:widowControl/>
        <w:rPr>
          <w:lang w:eastAsia="en-AU"/>
        </w:rPr>
      </w:pPr>
      <w:r>
        <w:rPr>
          <w:lang w:eastAsia="en-AU"/>
        </w:rPr>
        <w:t xml:space="preserve">FSANZ understands that where there is evidence </w:t>
      </w:r>
      <w:r w:rsidR="00612687">
        <w:rPr>
          <w:lang w:eastAsia="en-AU"/>
        </w:rPr>
        <w:t xml:space="preserve">that </w:t>
      </w:r>
      <w:r>
        <w:rPr>
          <w:lang w:eastAsia="en-AU"/>
        </w:rPr>
        <w:t xml:space="preserve">consumers are being misled by representations made about food products, enforcement agencies have powers under consumer protection legislation to take </w:t>
      </w:r>
      <w:r w:rsidR="008F08A0">
        <w:rPr>
          <w:lang w:eastAsia="en-AU"/>
        </w:rPr>
        <w:t xml:space="preserve">appropriate </w:t>
      </w:r>
      <w:r>
        <w:rPr>
          <w:lang w:eastAsia="en-AU"/>
        </w:rPr>
        <w:t xml:space="preserve">enforcement or compliance action. </w:t>
      </w:r>
    </w:p>
    <w:p w14:paraId="16F0B174" w14:textId="0C68063E" w:rsidR="00101524" w:rsidRDefault="00241786" w:rsidP="00101524">
      <w:pPr>
        <w:pStyle w:val="Heading4"/>
      </w:pPr>
      <w:r w:rsidRPr="00241786">
        <w:t>3.2.6.2</w:t>
      </w:r>
      <w:r w:rsidRPr="00241786">
        <w:tab/>
      </w:r>
      <w:r w:rsidR="00101524" w:rsidRPr="00101524">
        <w:t>Consumers and plant-based meat analogue products</w:t>
      </w:r>
    </w:p>
    <w:p w14:paraId="2AD47E7E" w14:textId="3C06E1D4" w:rsidR="00101524" w:rsidRPr="000F4BDC" w:rsidRDefault="000F4BDC" w:rsidP="00101524">
      <w:r>
        <w:t>In response to submitter comments</w:t>
      </w:r>
      <w:r w:rsidR="00664296">
        <w:t>,</w:t>
      </w:r>
      <w:r>
        <w:t xml:space="preserve"> </w:t>
      </w:r>
      <w:r w:rsidRPr="000F4BDC">
        <w:t>FSANZ has considered evidence about consumer trends in meat con</w:t>
      </w:r>
      <w:r w:rsidRPr="000F4BDC">
        <w:lastRenderedPageBreak/>
        <w:t xml:space="preserve">sumption and </w:t>
      </w:r>
      <w:r w:rsidR="00664296">
        <w:t>consumer</w:t>
      </w:r>
      <w:r w:rsidR="00664296" w:rsidRPr="000F4BDC">
        <w:t xml:space="preserve"> </w:t>
      </w:r>
      <w:r w:rsidRPr="000F4BDC">
        <w:t xml:space="preserve">understanding of meat analogue products (refer to </w:t>
      </w:r>
      <w:r w:rsidR="00283F97" w:rsidRPr="00CD687E">
        <w:t>SD2</w:t>
      </w:r>
      <w:r w:rsidR="00664296">
        <w:t xml:space="preserve"> – Consumers and meat analogue products in Australia and New Zealand</w:t>
      </w:r>
      <w:r w:rsidR="0074279F">
        <w:t>).</w:t>
      </w:r>
    </w:p>
    <w:p w14:paraId="4329DEF8" w14:textId="787CDE8C" w:rsidR="000F4BDC" w:rsidRPr="0074279F" w:rsidRDefault="000F4BDC" w:rsidP="00101524"/>
    <w:p w14:paraId="6CFFF8C6" w14:textId="1F57ED7F" w:rsidR="0097056F" w:rsidRDefault="00101524" w:rsidP="00101524">
      <w:r w:rsidRPr="00C51527">
        <w:t>The evidence suggests that some consumers in Australia and New Zealand are trying to reduce their meat intake</w:t>
      </w:r>
      <w:r w:rsidR="00C51527">
        <w:t xml:space="preserve"> by substituting s</w:t>
      </w:r>
      <w:r w:rsidRPr="00C51527">
        <w:t xml:space="preserve">ome of the meat products in their diet with </w:t>
      </w:r>
      <w:r w:rsidR="00C51527">
        <w:t xml:space="preserve">meat analogue products. </w:t>
      </w:r>
      <w:r w:rsidR="00612687">
        <w:t>Evidence</w:t>
      </w:r>
      <w:r w:rsidR="00DE4B75">
        <w:t xml:space="preserve"> also</w:t>
      </w:r>
      <w:r w:rsidR="00612687">
        <w:t xml:space="preserve"> suggests that s</w:t>
      </w:r>
      <w:r w:rsidR="00612687" w:rsidRPr="00C51527">
        <w:t xml:space="preserve">ome </w:t>
      </w:r>
      <w:r w:rsidRPr="00C51527">
        <w:t xml:space="preserve">consumers believe that meat analogue products have inferior taste and texture characteristics compared to traditional meat products. Ingredients or technologies that improve these characteristics in meat analogue products may increase their palatability to consumers. </w:t>
      </w:r>
    </w:p>
    <w:p w14:paraId="5C07AF1E" w14:textId="77777777" w:rsidR="0097056F" w:rsidRDefault="0097056F" w:rsidP="00101524"/>
    <w:p w14:paraId="350568F6" w14:textId="740E6BEC" w:rsidR="00101524" w:rsidRPr="00C51527" w:rsidRDefault="00577669" w:rsidP="00101524">
      <w:r>
        <w:t xml:space="preserve">There was little evidence to </w:t>
      </w:r>
      <w:r w:rsidR="00B54ECF">
        <w:t xml:space="preserve">characterise </w:t>
      </w:r>
      <w:r>
        <w:t xml:space="preserve">consumer understanding of meat analogue products based on </w:t>
      </w:r>
      <w:r w:rsidR="00B54ECF">
        <w:t xml:space="preserve">product label </w:t>
      </w:r>
      <w:r>
        <w:t>representations</w:t>
      </w:r>
      <w:r w:rsidR="00B54ECF">
        <w:t>. In t</w:t>
      </w:r>
      <w:r>
        <w:t>wo studies</w:t>
      </w:r>
      <w:r w:rsidR="00B54ECF">
        <w:t xml:space="preserve"> of Australian and New Zealand consumers, the proportion of consumers</w:t>
      </w:r>
      <w:r>
        <w:t xml:space="preserve"> </w:t>
      </w:r>
      <w:r w:rsidR="00B54ECF">
        <w:t xml:space="preserve">reporting they mistakenly </w:t>
      </w:r>
      <w:r w:rsidRPr="00577669">
        <w:t xml:space="preserve">purchased a ‘plant-based meat alternative product’ believing it was meat-based or </w:t>
      </w:r>
      <w:r w:rsidR="00B54ECF">
        <w:t xml:space="preserve">vice versa was low (nine </w:t>
      </w:r>
      <w:r w:rsidR="00F56AAA">
        <w:t xml:space="preserve">percent for Australian consumers </w:t>
      </w:r>
      <w:r w:rsidR="00B54ECF">
        <w:t>and six percent</w:t>
      </w:r>
      <w:r w:rsidR="00F56AAA">
        <w:t xml:space="preserve"> for New Zealand consumers)</w:t>
      </w:r>
      <w:r w:rsidR="00B54ECF">
        <w:t xml:space="preserve">. An experimental study of US consumers found that nearly a third of participants incorrectly identified </w:t>
      </w:r>
      <w:r w:rsidR="00D241BE">
        <w:t xml:space="preserve">a </w:t>
      </w:r>
      <w:r w:rsidR="00B54ECF">
        <w:t xml:space="preserve">meat analogue </w:t>
      </w:r>
      <w:r w:rsidR="0097056F">
        <w:t>burger patt</w:t>
      </w:r>
      <w:r w:rsidR="00D241BE">
        <w:t>y</w:t>
      </w:r>
      <w:r w:rsidR="00B54ECF">
        <w:t xml:space="preserve"> labelled as </w:t>
      </w:r>
      <w:r w:rsidR="00B54ECF" w:rsidDel="00B86C56">
        <w:t>‘</w:t>
      </w:r>
      <w:r w:rsidR="007D4D03">
        <w:t xml:space="preserve">Beyond </w:t>
      </w:r>
      <w:r w:rsidR="007D4D03" w:rsidRPr="00AA0008">
        <w:rPr>
          <w:u w:val="single"/>
        </w:rPr>
        <w:t>Meat</w:t>
      </w:r>
      <w:r w:rsidR="007D4D03">
        <w:t xml:space="preserve"> ® </w:t>
      </w:r>
      <w:r w:rsidR="00B54ECF">
        <w:t xml:space="preserve">Beyond </w:t>
      </w:r>
      <w:r w:rsidR="00B54ECF" w:rsidRPr="0097056F">
        <w:rPr>
          <w:u w:val="single"/>
        </w:rPr>
        <w:t>Burger</w:t>
      </w:r>
      <w:r w:rsidR="00B54ECF">
        <w:t xml:space="preserve">’ as containing beef mince, </w:t>
      </w:r>
      <w:r w:rsidR="0097056F">
        <w:t xml:space="preserve">when </w:t>
      </w:r>
      <w:r w:rsidR="00D241BE">
        <w:t>it was</w:t>
      </w:r>
      <w:r w:rsidR="0097056F">
        <w:t xml:space="preserve"> displayed side by side with two traditional meat burger patties. However, </w:t>
      </w:r>
      <w:r w:rsidR="00F56AAA">
        <w:t xml:space="preserve">ingredient lists were not provided </w:t>
      </w:r>
      <w:r w:rsidR="00D241BE">
        <w:t xml:space="preserve">for any burger patty </w:t>
      </w:r>
      <w:r w:rsidR="00F56AAA">
        <w:t xml:space="preserve">and </w:t>
      </w:r>
      <w:r w:rsidR="0097056F">
        <w:t>the removal of the underlined terms made little difference to consumers’ ability to correctly identify th</w:t>
      </w:r>
      <w:r w:rsidR="00135A12">
        <w:t>e meat analogue</w:t>
      </w:r>
      <w:r w:rsidR="0097056F">
        <w:t xml:space="preserve"> product</w:t>
      </w:r>
      <w:r w:rsidR="00F56AAA">
        <w:t>.</w:t>
      </w:r>
    </w:p>
    <w:p w14:paraId="499A2408" w14:textId="66FCB430" w:rsidR="00DA5468" w:rsidRPr="00DA5468" w:rsidRDefault="0024676A" w:rsidP="0024676A">
      <w:pPr>
        <w:pStyle w:val="Heading4"/>
      </w:pPr>
      <w:r>
        <w:t>3.</w:t>
      </w:r>
      <w:r w:rsidR="00E20E50">
        <w:t>2.6.</w:t>
      </w:r>
      <w:r w:rsidR="00241786">
        <w:t>3</w:t>
      </w:r>
      <w:r>
        <w:t xml:space="preserve"> Nutritional equivalence of meat analogue products to meat</w:t>
      </w:r>
    </w:p>
    <w:p w14:paraId="5102CA4C" w14:textId="7BCB0944" w:rsidR="0045560B" w:rsidRDefault="0045560B" w:rsidP="0045560B">
      <w:pPr>
        <w:widowControl/>
      </w:pPr>
      <w:r>
        <w:rPr>
          <w:rFonts w:cs="Arial"/>
        </w:rPr>
        <w:t xml:space="preserve">Nutrition content claims made about a meat analogue product would need to </w:t>
      </w:r>
      <w:r>
        <w:t>comply with requirements in Standard 1.2.7</w:t>
      </w:r>
      <w:r w:rsidR="00972040">
        <w:t xml:space="preserve"> (see </w:t>
      </w:r>
      <w:r w:rsidR="0067305B" w:rsidRPr="00CD687E">
        <w:t xml:space="preserve">Section </w:t>
      </w:r>
      <w:r w:rsidR="00972040" w:rsidRPr="00CD687E">
        <w:t>3.</w:t>
      </w:r>
      <w:r w:rsidR="00E20E50" w:rsidRPr="00CD687E">
        <w:t>2.5</w:t>
      </w:r>
      <w:r w:rsidR="00972040">
        <w:t xml:space="preserve"> </w:t>
      </w:r>
      <w:r w:rsidR="00FE2C1A">
        <w:t xml:space="preserve">of this report </w:t>
      </w:r>
      <w:r w:rsidR="00972040">
        <w:t>above)</w:t>
      </w:r>
      <w:r>
        <w:rPr>
          <w:i/>
        </w:rPr>
        <w:t xml:space="preserve">. </w:t>
      </w:r>
      <w:r w:rsidR="00FE2C1A">
        <w:t xml:space="preserve">For example, section </w:t>
      </w:r>
      <w:r>
        <w:t xml:space="preserve">1.2.7—9 </w:t>
      </w:r>
      <w:r w:rsidR="00972040">
        <w:t xml:space="preserve">of </w:t>
      </w:r>
      <w:r w:rsidR="00FE2C1A">
        <w:t>the Code</w:t>
      </w:r>
      <w:r w:rsidR="00972040">
        <w:t xml:space="preserve"> </w:t>
      </w:r>
      <w:r>
        <w:t xml:space="preserve">states </w:t>
      </w:r>
      <w:r w:rsidR="00FE2C1A">
        <w:t xml:space="preserve">that a </w:t>
      </w:r>
      <w:r>
        <w:t>c</w:t>
      </w:r>
      <w:r w:rsidRPr="0045560B">
        <w:t xml:space="preserve">laim directly or indirectly </w:t>
      </w:r>
      <w:r w:rsidR="00FE2C1A" w:rsidRPr="0045560B">
        <w:t>compar</w:t>
      </w:r>
      <w:r w:rsidR="00FE2C1A">
        <w:t>ing</w:t>
      </w:r>
      <w:r w:rsidR="00FE2C1A" w:rsidRPr="0045560B">
        <w:t xml:space="preserve"> </w:t>
      </w:r>
      <w:r w:rsidRPr="0045560B">
        <w:t xml:space="preserve">the vitamin or mineral content of a food with that of another food must not be made unless </w:t>
      </w:r>
      <w:r w:rsidR="00FE2C1A">
        <w:t xml:space="preserve">the claim is </w:t>
      </w:r>
      <w:r w:rsidRPr="0045560B">
        <w:t>already permitted by the Code</w:t>
      </w:r>
      <w:r>
        <w:t xml:space="preserve">. </w:t>
      </w:r>
    </w:p>
    <w:p w14:paraId="30346B05" w14:textId="66679A62" w:rsidR="00972040" w:rsidRDefault="00972040" w:rsidP="0045560B">
      <w:pPr>
        <w:widowControl/>
      </w:pPr>
    </w:p>
    <w:p w14:paraId="2F9AA195" w14:textId="2D9336A8" w:rsidR="00972040" w:rsidRDefault="00972040" w:rsidP="0045560B">
      <w:pPr>
        <w:widowControl/>
      </w:pPr>
      <w:r>
        <w:t>A packaged meat analogue product would also need to comply with nutrition information requirements</w:t>
      </w:r>
      <w:r w:rsidR="00A8668B">
        <w:t>, including the requirement</w:t>
      </w:r>
      <w:r w:rsidR="00437613">
        <w:t xml:space="preserve"> for a NIP</w:t>
      </w:r>
      <w:r w:rsidR="00253789">
        <w:t>, in Standard 1.2.8</w:t>
      </w:r>
      <w:r>
        <w:t xml:space="preserve"> </w:t>
      </w:r>
      <w:r w:rsidR="003235DF">
        <w:t xml:space="preserve">(see </w:t>
      </w:r>
      <w:r w:rsidR="0067305B" w:rsidRPr="00CD687E">
        <w:t xml:space="preserve">Section </w:t>
      </w:r>
      <w:r w:rsidR="003235DF" w:rsidRPr="00CD687E">
        <w:t>3.</w:t>
      </w:r>
      <w:r w:rsidR="00E20E50" w:rsidRPr="00CD687E">
        <w:t>2.4</w:t>
      </w:r>
      <w:r w:rsidR="003235DF">
        <w:t xml:space="preserve"> above).</w:t>
      </w:r>
    </w:p>
    <w:p w14:paraId="1CFA72C6" w14:textId="77777777" w:rsidR="0045560B" w:rsidRDefault="0045560B" w:rsidP="0045560B">
      <w:pPr>
        <w:widowControl/>
      </w:pPr>
    </w:p>
    <w:p w14:paraId="030E309D" w14:textId="10FD08E9" w:rsidR="00DA4C43" w:rsidRDefault="00E43CDA" w:rsidP="0045560B">
      <w:pPr>
        <w:widowControl/>
        <w:rPr>
          <w:rFonts w:cs="Arial"/>
        </w:rPr>
      </w:pPr>
      <w:r w:rsidRPr="00F633AE">
        <w:rPr>
          <w:rFonts w:cs="Arial"/>
        </w:rPr>
        <w:t xml:space="preserve">FSANZ notes meat analogue products are intended as meat substitutes, and the Code permits voluntary fortification of these substitute foods in the table to </w:t>
      </w:r>
      <w:r w:rsidR="004F02DB">
        <w:rPr>
          <w:rFonts w:cs="Arial"/>
        </w:rPr>
        <w:t>s</w:t>
      </w:r>
      <w:r w:rsidR="004F02DB" w:rsidRPr="00F633AE">
        <w:rPr>
          <w:rFonts w:cs="Arial"/>
        </w:rPr>
        <w:t xml:space="preserve">ection </w:t>
      </w:r>
      <w:r w:rsidRPr="00F633AE">
        <w:rPr>
          <w:rFonts w:cs="Arial"/>
        </w:rPr>
        <w:t>S17—4</w:t>
      </w:r>
      <w:r w:rsidR="004F02DB">
        <w:rPr>
          <w:rFonts w:cs="Arial"/>
        </w:rPr>
        <w:t xml:space="preserve"> (see sections 1.3.2—3 and 1.3.2—4</w:t>
      </w:r>
      <w:r w:rsidR="00664296">
        <w:rPr>
          <w:rFonts w:cs="Arial"/>
        </w:rPr>
        <w:t xml:space="preserve"> of Standard 1.3.2</w:t>
      </w:r>
      <w:r w:rsidR="004F02DB">
        <w:rPr>
          <w:rFonts w:cs="Arial"/>
        </w:rPr>
        <w:t>)</w:t>
      </w:r>
      <w:r w:rsidRPr="00F633AE">
        <w:rPr>
          <w:rFonts w:cs="Arial"/>
        </w:rPr>
        <w:t xml:space="preserve">. </w:t>
      </w:r>
    </w:p>
    <w:p w14:paraId="774FA718" w14:textId="77777777" w:rsidR="00DA4C43" w:rsidRDefault="00DA4C43" w:rsidP="0045560B">
      <w:pPr>
        <w:widowControl/>
        <w:rPr>
          <w:rFonts w:cs="Arial"/>
        </w:rPr>
      </w:pPr>
    </w:p>
    <w:p w14:paraId="6368096F" w14:textId="4B3EDE59" w:rsidR="0045560B" w:rsidRDefault="00DA4C43" w:rsidP="0045560B">
      <w:pPr>
        <w:widowControl/>
        <w:rPr>
          <w:rFonts w:cs="Arial"/>
        </w:rPr>
      </w:pPr>
      <w:r>
        <w:rPr>
          <w:rFonts w:cs="Arial"/>
        </w:rPr>
        <w:t xml:space="preserve">This is consistent with </w:t>
      </w:r>
      <w:r w:rsidR="0001069D">
        <w:rPr>
          <w:rFonts w:cs="Arial"/>
        </w:rPr>
        <w:t>t</w:t>
      </w:r>
      <w:r w:rsidR="0045560B">
        <w:rPr>
          <w:rFonts w:cs="Arial"/>
        </w:rPr>
        <w:t>he</w:t>
      </w:r>
      <w:r w:rsidR="0045560B">
        <w:t xml:space="preserve"> </w:t>
      </w:r>
      <w:r w:rsidR="0045560B">
        <w:rPr>
          <w:i/>
          <w:lang w:val="en-AU"/>
        </w:rPr>
        <w:t>Ministerial Policy Guideline for the fortification of foods with vitamins and minerals</w:t>
      </w:r>
      <w:r>
        <w:rPr>
          <w:i/>
          <w:lang w:val="en-AU"/>
        </w:rPr>
        <w:t xml:space="preserve"> </w:t>
      </w:r>
      <w:r>
        <w:rPr>
          <w:lang w:val="en-AU"/>
        </w:rPr>
        <w:t>(</w:t>
      </w:r>
      <w:r>
        <w:rPr>
          <w:rFonts w:cs="Arial"/>
        </w:rPr>
        <w:t>the</w:t>
      </w:r>
      <w:r>
        <w:t xml:space="preserve"> </w:t>
      </w:r>
      <w:r w:rsidRPr="00DA4C43">
        <w:rPr>
          <w:lang w:val="en-AU"/>
        </w:rPr>
        <w:t>Ministerial Policy Guideline</w:t>
      </w:r>
      <w:r>
        <w:rPr>
          <w:lang w:val="en-AU"/>
        </w:rPr>
        <w:t>)</w:t>
      </w:r>
      <w:r w:rsidR="0045560B">
        <w:rPr>
          <w:i/>
          <w:vertAlign w:val="superscript"/>
          <w:lang w:val="en-AU"/>
        </w:rPr>
        <w:footnoteReference w:id="14"/>
      </w:r>
      <w:r w:rsidR="00664296">
        <w:rPr>
          <w:lang w:val="en-AU"/>
        </w:rPr>
        <w:t>,</w:t>
      </w:r>
      <w:r>
        <w:rPr>
          <w:lang w:val="en-AU"/>
        </w:rPr>
        <w:t xml:space="preserve"> </w:t>
      </w:r>
      <w:r w:rsidR="00664296">
        <w:rPr>
          <w:rFonts w:cs="Arial"/>
        </w:rPr>
        <w:t>a</w:t>
      </w:r>
      <w:r>
        <w:rPr>
          <w:rFonts w:cs="Arial"/>
        </w:rPr>
        <w:t xml:space="preserve">s </w:t>
      </w:r>
      <w:r w:rsidR="00664296">
        <w:rPr>
          <w:rFonts w:cs="Arial"/>
        </w:rPr>
        <w:t>discussed</w:t>
      </w:r>
      <w:r w:rsidR="002D1A2C">
        <w:rPr>
          <w:rFonts w:cs="Arial"/>
        </w:rPr>
        <w:t xml:space="preserve"> in section </w:t>
      </w:r>
      <w:r w:rsidR="00664296">
        <w:rPr>
          <w:rFonts w:cs="Arial"/>
        </w:rPr>
        <w:t>5</w:t>
      </w:r>
      <w:r w:rsidR="002D1A2C">
        <w:rPr>
          <w:rFonts w:cs="Arial"/>
        </w:rPr>
        <w:t>.3.</w:t>
      </w:r>
      <w:r>
        <w:rPr>
          <w:rFonts w:cs="Arial"/>
        </w:rPr>
        <w:t xml:space="preserve"> below</w:t>
      </w:r>
      <w:r w:rsidR="002D1A2C">
        <w:rPr>
          <w:rFonts w:cs="Arial"/>
        </w:rPr>
        <w:t>.</w:t>
      </w:r>
    </w:p>
    <w:p w14:paraId="56724C07" w14:textId="77777777" w:rsidR="0045560B" w:rsidRDefault="0045560B" w:rsidP="00E43CDA">
      <w:pPr>
        <w:widowControl/>
      </w:pPr>
    </w:p>
    <w:p w14:paraId="290E1ED0" w14:textId="5BEAB6C3" w:rsidR="00E43CDA" w:rsidRDefault="00E43CDA" w:rsidP="00E43CDA">
      <w:pPr>
        <w:widowControl/>
      </w:pPr>
      <w:r>
        <w:t>The Code does not regulate all nutritional aspects of meat analogue products and manufacturers can currently market meat analogue products in Australia and New Zealand with or without added vitamins and minerals. Even so, it is unlikely a meat analogue could achieve exact nutritional equivalence to meat when all factors in the food matrix are considered.</w:t>
      </w:r>
    </w:p>
    <w:p w14:paraId="1F551B4B" w14:textId="2C4645EB" w:rsidR="00093AF6" w:rsidRDefault="00404C6F" w:rsidP="00404C6F">
      <w:pPr>
        <w:pStyle w:val="Heading2"/>
        <w:ind w:left="0" w:firstLine="0"/>
      </w:pPr>
      <w:bookmarkStart w:id="120" w:name="_Toc26980508"/>
      <w:bookmarkStart w:id="121" w:name="_Toc41576665"/>
      <w:bookmarkStart w:id="122" w:name="_Toc26284650"/>
      <w:bookmarkStart w:id="123" w:name="_Toc26980509"/>
      <w:bookmarkStart w:id="124" w:name="_Toc41576667"/>
      <w:bookmarkStart w:id="125" w:name="_Toc42875228"/>
      <w:bookmarkStart w:id="126" w:name="_Toc43128132"/>
      <w:bookmarkEnd w:id="120"/>
      <w:bookmarkEnd w:id="121"/>
      <w:bookmarkEnd w:id="122"/>
      <w:bookmarkEnd w:id="123"/>
      <w:r>
        <w:rPr>
          <w:lang w:val="en-AU" w:eastAsia="en-GB"/>
        </w:rPr>
        <w:t>3.</w:t>
      </w:r>
      <w:r w:rsidR="000C299F">
        <w:rPr>
          <w:lang w:val="en-AU" w:eastAsia="en-GB"/>
        </w:rPr>
        <w:t>3</w:t>
      </w:r>
      <w:r>
        <w:rPr>
          <w:lang w:val="en-AU" w:eastAsia="en-GB"/>
        </w:rPr>
        <w:tab/>
        <w:t>Summary of proposed regulatory measures</w:t>
      </w:r>
      <w:bookmarkEnd w:id="124"/>
      <w:bookmarkEnd w:id="125"/>
      <w:bookmarkEnd w:id="126"/>
    </w:p>
    <w:p w14:paraId="7C9929DC" w14:textId="19F41360" w:rsidR="002E6687" w:rsidRDefault="002E6687" w:rsidP="002E6687">
      <w:pPr>
        <w:rPr>
          <w:rFonts w:cs="Arial"/>
          <w:szCs w:val="22"/>
        </w:rPr>
      </w:pPr>
      <w:bookmarkStart w:id="127" w:name="_Toc300933435"/>
      <w:bookmarkStart w:id="128" w:name="_Toc41576668"/>
      <w:r>
        <w:rPr>
          <w:rFonts w:cs="Arial"/>
          <w:szCs w:val="22"/>
        </w:rPr>
        <w:t xml:space="preserve">Based on </w:t>
      </w:r>
      <w:r w:rsidR="00893FC4">
        <w:rPr>
          <w:rFonts w:cs="Arial"/>
          <w:szCs w:val="22"/>
        </w:rPr>
        <w:t xml:space="preserve">its </w:t>
      </w:r>
      <w:r>
        <w:rPr>
          <w:rFonts w:cs="Arial"/>
          <w:szCs w:val="22"/>
        </w:rPr>
        <w:t xml:space="preserve">assessment, FSANZ’s risk management </w:t>
      </w:r>
      <w:r w:rsidRPr="00093AF6">
        <w:rPr>
          <w:rFonts w:cs="Arial"/>
          <w:szCs w:val="22"/>
        </w:rPr>
        <w:t>conclusion is to permit</w:t>
      </w:r>
      <w:r>
        <w:rPr>
          <w:rFonts w:cs="Arial"/>
          <w:szCs w:val="22"/>
        </w:rPr>
        <w:t xml:space="preserve"> </w:t>
      </w:r>
      <w:r w:rsidR="00F838D4">
        <w:rPr>
          <w:rFonts w:cs="Arial"/>
          <w:szCs w:val="22"/>
        </w:rPr>
        <w:t xml:space="preserve">and regulate </w:t>
      </w:r>
      <w:r>
        <w:rPr>
          <w:rFonts w:cs="Arial"/>
          <w:szCs w:val="22"/>
        </w:rPr>
        <w:t>the use of soy leghemoglobin</w:t>
      </w:r>
      <w:r w:rsidRPr="00623FA6">
        <w:rPr>
          <w:rFonts w:cs="Arial"/>
          <w:szCs w:val="22"/>
        </w:rPr>
        <w:t xml:space="preserve"> </w:t>
      </w:r>
      <w:r>
        <w:rPr>
          <w:rFonts w:cs="Arial"/>
          <w:szCs w:val="22"/>
        </w:rPr>
        <w:t>as</w:t>
      </w:r>
      <w:r w:rsidR="005064EE">
        <w:rPr>
          <w:rFonts w:cs="Arial"/>
          <w:szCs w:val="22"/>
        </w:rPr>
        <w:t xml:space="preserve"> both</w:t>
      </w:r>
      <w:r w:rsidR="003E4BF4">
        <w:rPr>
          <w:rFonts w:cs="Arial"/>
          <w:szCs w:val="22"/>
        </w:rPr>
        <w:t>:</w:t>
      </w:r>
      <w:r>
        <w:rPr>
          <w:rFonts w:cs="Arial"/>
          <w:szCs w:val="22"/>
        </w:rPr>
        <w:t xml:space="preserve"> a nutritive substance </w:t>
      </w:r>
      <w:r w:rsidRPr="00623FA6">
        <w:rPr>
          <w:rFonts w:cs="Arial"/>
          <w:szCs w:val="22"/>
        </w:rPr>
        <w:t xml:space="preserve">in </w:t>
      </w:r>
      <w:r>
        <w:rPr>
          <w:rFonts w:cs="Arial"/>
          <w:szCs w:val="22"/>
        </w:rPr>
        <w:t>meat analogue products</w:t>
      </w:r>
      <w:r w:rsidR="003E4BF4">
        <w:rPr>
          <w:rFonts w:cs="Arial"/>
          <w:szCs w:val="22"/>
        </w:rPr>
        <w:t xml:space="preserve">; </w:t>
      </w:r>
      <w:r w:rsidR="003E4BF4">
        <w:rPr>
          <w:bCs/>
          <w:lang w:bidi="ar-SA"/>
        </w:rPr>
        <w:t xml:space="preserve">and a </w:t>
      </w:r>
      <w:r w:rsidR="003E4BF4" w:rsidRPr="000E3ED4">
        <w:rPr>
          <w:bCs/>
          <w:lang w:bidi="ar-SA"/>
        </w:rPr>
        <w:t>food produced using gene technology</w:t>
      </w:r>
      <w:r w:rsidR="005064EE">
        <w:rPr>
          <w:bCs/>
          <w:lang w:bidi="ar-SA"/>
        </w:rPr>
        <w:t>, as follows</w:t>
      </w:r>
      <w:r>
        <w:rPr>
          <w:rFonts w:cs="Arial"/>
          <w:szCs w:val="22"/>
        </w:rPr>
        <w:t>:</w:t>
      </w:r>
    </w:p>
    <w:p w14:paraId="1AE7E286" w14:textId="77777777" w:rsidR="002E6687" w:rsidRDefault="002E6687" w:rsidP="002E6687">
      <w:pPr>
        <w:rPr>
          <w:rFonts w:cs="Arial"/>
          <w:szCs w:val="22"/>
        </w:rPr>
      </w:pPr>
    </w:p>
    <w:p w14:paraId="180F5026" w14:textId="0CA9D019" w:rsidR="00BA4583" w:rsidRPr="00BA4583" w:rsidRDefault="00BA4583" w:rsidP="00BA4583">
      <w:pPr>
        <w:pStyle w:val="FSBullet1"/>
        <w:numPr>
          <w:ilvl w:val="0"/>
          <w:numId w:val="0"/>
        </w:numPr>
        <w:rPr>
          <w:rFonts w:ascii="Calibri" w:hAnsi="Calibri" w:cs="Calibri"/>
          <w:lang w:eastAsia="en-GB"/>
        </w:rPr>
      </w:pPr>
    </w:p>
    <w:p w14:paraId="13465927" w14:textId="77777777" w:rsidR="00BA4583" w:rsidRPr="00DF75C6" w:rsidRDefault="00BA4583" w:rsidP="00BA4583">
      <w:pPr>
        <w:pStyle w:val="FSBullet1"/>
        <w:numPr>
          <w:ilvl w:val="0"/>
          <w:numId w:val="12"/>
        </w:numPr>
        <w:rPr>
          <w:rFonts w:ascii="Calibri" w:hAnsi="Calibri" w:cs="Calibri"/>
          <w:lang w:eastAsia="en-GB"/>
        </w:rPr>
      </w:pPr>
      <w:r>
        <w:rPr>
          <w:lang w:eastAsia="en-GB"/>
        </w:rPr>
        <w:t xml:space="preserve">Define ‘soy leghemoglobin preparation’ in section S26—2, as ‘a cell lysate preparation that includes the GM soy leghemoglobin and residual GM proteins from the </w:t>
      </w:r>
      <w:r>
        <w:rPr>
          <w:i/>
          <w:lang w:eastAsia="en-GB"/>
        </w:rPr>
        <w:t xml:space="preserve">Pichia </w:t>
      </w:r>
      <w:r>
        <w:rPr>
          <w:lang w:eastAsia="en-GB"/>
        </w:rPr>
        <w:t>yeast’.</w:t>
      </w:r>
    </w:p>
    <w:p w14:paraId="0CD6D868" w14:textId="77777777" w:rsidR="00BA4583" w:rsidRPr="00385DCA" w:rsidRDefault="00BA4583" w:rsidP="00BA4583">
      <w:pPr>
        <w:pStyle w:val="FSBullet1"/>
        <w:numPr>
          <w:ilvl w:val="0"/>
          <w:numId w:val="12"/>
        </w:numPr>
        <w:rPr>
          <w:rFonts w:ascii="Calibri" w:hAnsi="Calibri" w:cs="Calibri"/>
          <w:lang w:eastAsia="en-GB"/>
        </w:rPr>
      </w:pPr>
      <w:r>
        <w:rPr>
          <w:lang w:eastAsia="en-GB"/>
        </w:rPr>
        <w:t xml:space="preserve">Permit the use of the soy leghemoglobin preparation as a </w:t>
      </w:r>
      <w:r w:rsidRPr="00DF75C6">
        <w:rPr>
          <w:lang w:eastAsia="en-GB"/>
        </w:rPr>
        <w:t>food produced using gene technology</w:t>
      </w:r>
      <w:r>
        <w:rPr>
          <w:lang w:eastAsia="en-GB"/>
        </w:rPr>
        <w:t xml:space="preserve"> by listing the preparation with the same </w:t>
      </w:r>
      <w:r w:rsidRPr="0091535D">
        <w:t xml:space="preserve">gene-gene donor </w:t>
      </w:r>
      <w:r>
        <w:t>source, and specific conditions of use</w:t>
      </w:r>
      <w:r>
        <w:rPr>
          <w:lang w:eastAsia="en-GB"/>
        </w:rPr>
        <w:t xml:space="preserve"> into</w:t>
      </w:r>
      <w:r>
        <w:rPr>
          <w:iCs/>
          <w:lang w:eastAsia="en-GB"/>
        </w:rPr>
        <w:t xml:space="preserve"> the table to subsection S26—3(7) (‘</w:t>
      </w:r>
      <w:r w:rsidRPr="00385BC2">
        <w:rPr>
          <w:iCs/>
          <w:lang w:eastAsia="en-GB"/>
        </w:rPr>
        <w:t>Food produced using gene technology of microbial origin</w:t>
      </w:r>
      <w:r>
        <w:rPr>
          <w:iCs/>
          <w:lang w:eastAsia="en-GB"/>
        </w:rPr>
        <w:t>’).</w:t>
      </w:r>
    </w:p>
    <w:p w14:paraId="4CE9DD0F" w14:textId="624C0FB1" w:rsidR="002E6687" w:rsidRPr="003F5A76" w:rsidRDefault="002E6687" w:rsidP="00BA4583">
      <w:pPr>
        <w:pStyle w:val="FSBullet1"/>
        <w:numPr>
          <w:ilvl w:val="0"/>
          <w:numId w:val="12"/>
        </w:numPr>
        <w:rPr>
          <w:rFonts w:ascii="Calibri" w:hAnsi="Calibri" w:cs="Calibri"/>
          <w:lang w:eastAsia="en-GB"/>
        </w:rPr>
      </w:pPr>
      <w:r>
        <w:lastRenderedPageBreak/>
        <w:t xml:space="preserve">Amend Standard 1.3.2 to permit </w:t>
      </w:r>
      <w:r w:rsidR="0066352F">
        <w:t xml:space="preserve">iron in the form of </w:t>
      </w:r>
      <w:r>
        <w:t>soy leghe</w:t>
      </w:r>
      <w:r w:rsidR="009C318C">
        <w:t>moglobin</w:t>
      </w:r>
      <w:r>
        <w:t xml:space="preserve"> to be </w:t>
      </w:r>
      <w:r>
        <w:rPr>
          <w:i/>
        </w:rPr>
        <w:t>used as a</w:t>
      </w:r>
      <w:r>
        <w:t xml:space="preserve"> </w:t>
      </w:r>
      <w:r w:rsidRPr="00385BC2">
        <w:rPr>
          <w:i/>
        </w:rPr>
        <w:t xml:space="preserve">nutritive </w:t>
      </w:r>
      <w:r>
        <w:rPr>
          <w:i/>
        </w:rPr>
        <w:t xml:space="preserve">substance </w:t>
      </w:r>
      <w:r>
        <w:t xml:space="preserve">only in meat analogue products to which section S17—4 applies, </w:t>
      </w:r>
      <w:r>
        <w:rPr>
          <w:szCs w:val="22"/>
          <w:lang w:val="en-AU" w:eastAsia="en-GB"/>
        </w:rPr>
        <w:t xml:space="preserve">with </w:t>
      </w:r>
      <w:r w:rsidRPr="006E56C1">
        <w:rPr>
          <w:szCs w:val="22"/>
          <w:lang w:val="en-AU" w:eastAsia="en-GB"/>
        </w:rPr>
        <w:t xml:space="preserve">a maximum permitted use level </w:t>
      </w:r>
      <w:r>
        <w:rPr>
          <w:szCs w:val="22"/>
          <w:lang w:val="en-AU" w:eastAsia="en-GB"/>
        </w:rPr>
        <w:t>of</w:t>
      </w:r>
      <w:r w:rsidRPr="006E56C1">
        <w:rPr>
          <w:szCs w:val="22"/>
          <w:lang w:val="en-AU" w:eastAsia="en-GB"/>
        </w:rPr>
        <w:t xml:space="preserve"> 0.8%</w:t>
      </w:r>
      <w:r>
        <w:rPr>
          <w:szCs w:val="22"/>
          <w:lang w:val="en-AU" w:eastAsia="en-GB"/>
        </w:rPr>
        <w:t xml:space="preserve"> in raw product</w:t>
      </w:r>
      <w:r>
        <w:t>.</w:t>
      </w:r>
    </w:p>
    <w:p w14:paraId="42D272FF" w14:textId="6CCEE87B" w:rsidR="002E6687" w:rsidRPr="004474CF" w:rsidRDefault="00C40DF7" w:rsidP="002E6687">
      <w:pPr>
        <w:pStyle w:val="FSBullet1"/>
        <w:numPr>
          <w:ilvl w:val="0"/>
          <w:numId w:val="12"/>
        </w:numPr>
        <w:rPr>
          <w:rFonts w:ascii="Calibri" w:hAnsi="Calibri" w:cs="Calibri"/>
          <w:lang w:eastAsia="en-GB"/>
        </w:rPr>
      </w:pPr>
      <w:r>
        <w:t>List s</w:t>
      </w:r>
      <w:r w:rsidR="002E6687">
        <w:t>oy leghemoglobin</w:t>
      </w:r>
      <w:r w:rsidR="00412F44">
        <w:t xml:space="preserve"> (in a soy leghemoglobin preparation)</w:t>
      </w:r>
      <w:r w:rsidR="002E6687">
        <w:t xml:space="preserve"> as a permitted form of iron in the table to section S17—3.</w:t>
      </w:r>
    </w:p>
    <w:p w14:paraId="5B8AD443" w14:textId="2ABC3564" w:rsidR="002E6687" w:rsidRDefault="002E6687" w:rsidP="002E6687">
      <w:pPr>
        <w:pStyle w:val="FSBullet1"/>
        <w:numPr>
          <w:ilvl w:val="0"/>
          <w:numId w:val="5"/>
        </w:numPr>
        <w:rPr>
          <w:szCs w:val="22"/>
          <w:lang w:eastAsia="en-GB"/>
        </w:rPr>
      </w:pPr>
      <w:r>
        <w:rPr>
          <w:szCs w:val="22"/>
          <w:lang w:eastAsia="en-GB"/>
        </w:rPr>
        <w:t>Amend Schedule 3 to include s</w:t>
      </w:r>
      <w:r w:rsidRPr="006E56C1">
        <w:rPr>
          <w:szCs w:val="22"/>
          <w:lang w:eastAsia="en-GB"/>
        </w:rPr>
        <w:t xml:space="preserve">pecifications </w:t>
      </w:r>
      <w:r>
        <w:rPr>
          <w:szCs w:val="22"/>
          <w:lang w:eastAsia="en-GB"/>
        </w:rPr>
        <w:t xml:space="preserve">for the identity and purity of </w:t>
      </w:r>
      <w:r w:rsidR="0066352F">
        <w:rPr>
          <w:szCs w:val="22"/>
          <w:lang w:eastAsia="en-GB"/>
        </w:rPr>
        <w:t>a</w:t>
      </w:r>
      <w:r>
        <w:rPr>
          <w:szCs w:val="22"/>
          <w:lang w:eastAsia="en-GB"/>
        </w:rPr>
        <w:t xml:space="preserve"> soy leghem</w:t>
      </w:r>
      <w:r w:rsidR="0066352F">
        <w:rPr>
          <w:szCs w:val="22"/>
          <w:lang w:eastAsia="en-GB"/>
        </w:rPr>
        <w:t>oglobin preparation</w:t>
      </w:r>
      <w:r w:rsidRPr="006E56C1">
        <w:rPr>
          <w:szCs w:val="22"/>
          <w:lang w:eastAsia="en-GB"/>
        </w:rPr>
        <w:t xml:space="preserve">. </w:t>
      </w:r>
    </w:p>
    <w:p w14:paraId="77FDEE78" w14:textId="5AA3C882" w:rsidR="002E6687" w:rsidRPr="00385BC2" w:rsidRDefault="002E6687" w:rsidP="002E6687">
      <w:pPr>
        <w:pStyle w:val="FSBullet1"/>
        <w:numPr>
          <w:ilvl w:val="0"/>
          <w:numId w:val="5"/>
        </w:numPr>
        <w:rPr>
          <w:szCs w:val="22"/>
          <w:lang w:eastAsia="en-GB"/>
        </w:rPr>
      </w:pPr>
      <w:r>
        <w:t xml:space="preserve">Existing labelling requirements </w:t>
      </w:r>
      <w:r w:rsidR="0066352F">
        <w:t xml:space="preserve">will </w:t>
      </w:r>
      <w:r>
        <w:t>apply t</w:t>
      </w:r>
      <w:r w:rsidR="0066352F">
        <w:t xml:space="preserve">o soy leghemoglobin (in the form of </w:t>
      </w:r>
      <w:r w:rsidR="00DE6B02">
        <w:t xml:space="preserve">a </w:t>
      </w:r>
      <w:r w:rsidR="009C318C">
        <w:t>soy leghemoglobin preparation</w:t>
      </w:r>
      <w:r w:rsidR="0066352F">
        <w:t xml:space="preserve">) </w:t>
      </w:r>
      <w:r>
        <w:t>enabl</w:t>
      </w:r>
      <w:r w:rsidR="0066352F">
        <w:t>ing</w:t>
      </w:r>
      <w:r>
        <w:t xml:space="preserve"> consumers to make informed choice</w:t>
      </w:r>
      <w:r w:rsidR="0066352F">
        <w:t>s</w:t>
      </w:r>
      <w:r>
        <w:t>.</w:t>
      </w:r>
    </w:p>
    <w:p w14:paraId="63B27384" w14:textId="77777777" w:rsidR="002E6687" w:rsidRDefault="002E6687" w:rsidP="002E6687"/>
    <w:p w14:paraId="49BAEF75" w14:textId="7BC042F9" w:rsidR="00507441" w:rsidRDefault="002E6687" w:rsidP="00DD0DD4">
      <w:r w:rsidRPr="00507441">
        <w:t>Co</w:t>
      </w:r>
      <w:r>
        <w:t xml:space="preserve">nsequential amendments </w:t>
      </w:r>
      <w:r w:rsidR="00070C74">
        <w:t>are</w:t>
      </w:r>
      <w:r>
        <w:t xml:space="preserve"> also be proposed to Note 1 of Schedule 3 and the table to subsection S17—4 (these are explained in the Explan</w:t>
      </w:r>
      <w:r w:rsidR="0066352F">
        <w:t>a</w:t>
      </w:r>
      <w:r>
        <w:t>tory Statement</w:t>
      </w:r>
      <w:r w:rsidR="0066352F">
        <w:t>—</w:t>
      </w:r>
      <w:r>
        <w:t>Attachment B to this report).</w:t>
      </w:r>
    </w:p>
    <w:p w14:paraId="2A6B9E79" w14:textId="77777777" w:rsidR="006D0845" w:rsidRDefault="006D0845" w:rsidP="00DD0DD4">
      <w:pPr>
        <w:rPr>
          <w:bCs/>
        </w:rPr>
      </w:pPr>
    </w:p>
    <w:p w14:paraId="0D9DC291" w14:textId="043232A2" w:rsidR="00070C74" w:rsidRDefault="00070C74" w:rsidP="00664296">
      <w:r>
        <w:t xml:space="preserve">FSANZ has prepared a draft variation to the Code </w:t>
      </w:r>
      <w:r w:rsidR="00664296">
        <w:t xml:space="preserve">at </w:t>
      </w:r>
      <w:r w:rsidR="00133D6A">
        <w:t>Attachment</w:t>
      </w:r>
      <w:r w:rsidR="00664296">
        <w:t xml:space="preserve"> A, </w:t>
      </w:r>
      <w:r>
        <w:t>to give effect to the above.</w:t>
      </w:r>
    </w:p>
    <w:p w14:paraId="13EEB80E" w14:textId="77777777" w:rsidR="00070C74" w:rsidRPr="00070C74" w:rsidRDefault="00070C74" w:rsidP="00664296"/>
    <w:p w14:paraId="5C7CCFE8" w14:textId="70BE7B6F" w:rsidR="00E520FE" w:rsidRPr="00932F14" w:rsidRDefault="000A5E22" w:rsidP="00E8219F">
      <w:pPr>
        <w:pStyle w:val="Heading1"/>
      </w:pPr>
      <w:bookmarkStart w:id="129" w:name="_Toc42875229"/>
      <w:bookmarkStart w:id="130" w:name="_Toc43128133"/>
      <w:r>
        <w:t>4</w:t>
      </w:r>
      <w:r w:rsidR="00E520FE">
        <w:tab/>
        <w:t>Risk communication</w:t>
      </w:r>
      <w:bookmarkEnd w:id="127"/>
      <w:bookmarkEnd w:id="128"/>
      <w:bookmarkEnd w:id="129"/>
      <w:bookmarkEnd w:id="130"/>
      <w:r w:rsidR="00E520FE">
        <w:t xml:space="preserve"> </w:t>
      </w:r>
    </w:p>
    <w:p w14:paraId="53383B09" w14:textId="77777777" w:rsidR="00E8219F" w:rsidRPr="00E8219F" w:rsidRDefault="00E8219F" w:rsidP="00E8219F">
      <w:pPr>
        <w:pStyle w:val="Heading2"/>
      </w:pPr>
      <w:bookmarkStart w:id="131" w:name="_Toc300933437"/>
      <w:bookmarkStart w:id="132" w:name="_Toc26284652"/>
      <w:bookmarkStart w:id="133" w:name="_Toc26980511"/>
      <w:bookmarkStart w:id="134" w:name="_Toc41576669"/>
      <w:bookmarkStart w:id="135" w:name="_Toc42875230"/>
      <w:bookmarkStart w:id="136" w:name="_Toc43128134"/>
      <w:bookmarkStart w:id="137" w:name="_Toc286391012"/>
      <w:bookmarkStart w:id="138" w:name="_Toc300761912"/>
      <w:bookmarkStart w:id="139" w:name="_Toc300933439"/>
      <w:r w:rsidRPr="00E8219F">
        <w:t>4.1</w:t>
      </w:r>
      <w:r w:rsidRPr="00E8219F">
        <w:tab/>
        <w:t>Consultation</w:t>
      </w:r>
      <w:bookmarkEnd w:id="131"/>
      <w:bookmarkEnd w:id="132"/>
      <w:bookmarkEnd w:id="133"/>
      <w:bookmarkEnd w:id="134"/>
      <w:bookmarkEnd w:id="135"/>
      <w:bookmarkEnd w:id="136"/>
    </w:p>
    <w:p w14:paraId="2F3DB19F" w14:textId="77777777" w:rsidR="00E8219F" w:rsidRPr="001F0342" w:rsidRDefault="00E8219F" w:rsidP="00E8219F">
      <w:pPr>
        <w:widowControl/>
        <w:rPr>
          <w:szCs w:val="22"/>
        </w:rPr>
      </w:pPr>
      <w:r w:rsidRPr="001F0342">
        <w:rPr>
          <w:szCs w:val="22"/>
        </w:rPr>
        <w:t xml:space="preserve">Consultation is a key part of FSANZ’s standards development process. </w:t>
      </w:r>
    </w:p>
    <w:p w14:paraId="6CD3E312" w14:textId="77777777" w:rsidR="00E8219F" w:rsidRPr="001F0342" w:rsidRDefault="00E8219F" w:rsidP="00E8219F">
      <w:pPr>
        <w:widowControl/>
      </w:pPr>
    </w:p>
    <w:p w14:paraId="17BB203A" w14:textId="51729817" w:rsidR="00E8219F" w:rsidRPr="002A7881" w:rsidRDefault="00E8219F" w:rsidP="00E8219F">
      <w:pPr>
        <w:widowControl/>
        <w:rPr>
          <w:rFonts w:cs="Arial"/>
          <w:color w:val="000000"/>
        </w:rPr>
      </w:pPr>
      <w:r w:rsidRPr="001F0342">
        <w:rPr>
          <w:rFonts w:cs="Arial"/>
        </w:rPr>
        <w:t xml:space="preserve">FSANZ has developed </w:t>
      </w:r>
      <w:r w:rsidR="007B221E">
        <w:rPr>
          <w:rFonts w:cs="Arial"/>
        </w:rPr>
        <w:t xml:space="preserve">and adopted </w:t>
      </w:r>
      <w:r w:rsidRPr="001F0342">
        <w:rPr>
          <w:rFonts w:cs="Arial"/>
        </w:rPr>
        <w:t xml:space="preserve">a communication strategy for this application. Subscribers and interested parties </w:t>
      </w:r>
      <w:r w:rsidRPr="002A7881">
        <w:rPr>
          <w:rFonts w:cs="Arial"/>
          <w:color w:val="000000"/>
        </w:rPr>
        <w:t xml:space="preserve">have been notified about this </w:t>
      </w:r>
      <w:r w:rsidR="00AD33FC">
        <w:rPr>
          <w:rFonts w:cs="Arial"/>
          <w:color w:val="000000"/>
        </w:rPr>
        <w:t>2nd CFS</w:t>
      </w:r>
      <w:r w:rsidRPr="002A7881">
        <w:rPr>
          <w:rFonts w:cs="Arial"/>
          <w:color w:val="000000"/>
        </w:rPr>
        <w:t xml:space="preserve"> via the FSANZ Notification Circular, media release and through FSANZ’s social media tools and Food Standards News.</w:t>
      </w:r>
    </w:p>
    <w:p w14:paraId="00D02020" w14:textId="77777777" w:rsidR="00E8219F" w:rsidRPr="00535F8F" w:rsidRDefault="00E8219F" w:rsidP="00E8219F">
      <w:pPr>
        <w:widowControl/>
      </w:pPr>
    </w:p>
    <w:p w14:paraId="4B6D10F0" w14:textId="77777777" w:rsidR="00E8219F" w:rsidRPr="002A7881" w:rsidRDefault="00E8219F" w:rsidP="00E8219F">
      <w:pPr>
        <w:widowControl/>
        <w:rPr>
          <w:rFonts w:cs="Arial"/>
          <w:szCs w:val="22"/>
        </w:rPr>
      </w:pPr>
      <w:r w:rsidRPr="002A7881">
        <w:rPr>
          <w:rFonts w:cs="Arial"/>
          <w:szCs w:val="22"/>
        </w:rPr>
        <w:t>FSANZ acknowledges the time taken by individuals and organisations to consider this application. All comments are valued and contribute to the rigour of our assessment.</w:t>
      </w:r>
    </w:p>
    <w:p w14:paraId="58A8FE9A" w14:textId="7F02B13C" w:rsidR="00E8219F" w:rsidRDefault="00E8219F" w:rsidP="00E8219F">
      <w:pPr>
        <w:widowControl/>
        <w:autoSpaceDE w:val="0"/>
        <w:autoSpaceDN w:val="0"/>
        <w:adjustRightInd w:val="0"/>
        <w:rPr>
          <w:rFonts w:cs="Arial"/>
          <w:color w:val="000000"/>
        </w:rPr>
      </w:pPr>
      <w:r w:rsidRPr="002A7881">
        <w:rPr>
          <w:rFonts w:cs="Arial"/>
          <w:color w:val="000000"/>
        </w:rPr>
        <w:t xml:space="preserve">Comments received will be taken into account when </w:t>
      </w:r>
      <w:r>
        <w:rPr>
          <w:rFonts w:cs="Arial"/>
          <w:color w:val="000000"/>
        </w:rPr>
        <w:t xml:space="preserve">deciding whether to </w:t>
      </w:r>
      <w:r w:rsidR="00AE1BCF">
        <w:rPr>
          <w:rFonts w:cs="Arial"/>
          <w:color w:val="000000"/>
        </w:rPr>
        <w:t xml:space="preserve">amend the </w:t>
      </w:r>
      <w:r>
        <w:rPr>
          <w:rFonts w:cs="Arial"/>
          <w:color w:val="000000"/>
        </w:rPr>
        <w:t>draft variatio</w:t>
      </w:r>
      <w:r w:rsidR="00AE1BCF">
        <w:rPr>
          <w:rFonts w:cs="Arial"/>
          <w:color w:val="000000"/>
        </w:rPr>
        <w:t>n</w:t>
      </w:r>
      <w:r>
        <w:rPr>
          <w:rFonts w:cs="Arial"/>
          <w:color w:val="000000"/>
        </w:rPr>
        <w:t xml:space="preserve"> at the next stage of assessment.</w:t>
      </w:r>
    </w:p>
    <w:p w14:paraId="4C85037B" w14:textId="3DA73E7B" w:rsidR="00E8219F" w:rsidRPr="003E7621" w:rsidRDefault="00E8219F" w:rsidP="00C82481">
      <w:pPr>
        <w:pStyle w:val="Heading3"/>
      </w:pPr>
      <w:bookmarkStart w:id="140" w:name="_Toc42875231"/>
      <w:bookmarkStart w:id="141" w:name="_Toc43128135"/>
      <w:r>
        <w:t>4.1.1</w:t>
      </w:r>
      <w:r w:rsidRPr="003E7621">
        <w:t xml:space="preserve"> </w:t>
      </w:r>
      <w:r w:rsidRPr="003E7621">
        <w:tab/>
        <w:t>Targeted consultation</w:t>
      </w:r>
      <w:bookmarkEnd w:id="140"/>
      <w:bookmarkEnd w:id="141"/>
    </w:p>
    <w:p w14:paraId="290FFDC4" w14:textId="120238CF" w:rsidR="00E8219F" w:rsidRDefault="00194EBB">
      <w:pPr>
        <w:widowControl/>
      </w:pPr>
      <w:r>
        <w:rPr>
          <w:rFonts w:cs="Arial"/>
          <w:szCs w:val="22"/>
        </w:rPr>
        <w:t>After receiving submission</w:t>
      </w:r>
      <w:r w:rsidR="00580374">
        <w:rPr>
          <w:rFonts w:cs="Arial"/>
          <w:szCs w:val="22"/>
        </w:rPr>
        <w:t>s to</w:t>
      </w:r>
      <w:r>
        <w:rPr>
          <w:rFonts w:cs="Arial"/>
          <w:szCs w:val="22"/>
        </w:rPr>
        <w:t xml:space="preserve"> the 1</w:t>
      </w:r>
      <w:r w:rsidRPr="00331C21">
        <w:rPr>
          <w:rFonts w:cs="Arial"/>
          <w:szCs w:val="22"/>
          <w:vertAlign w:val="superscript"/>
        </w:rPr>
        <w:t>st</w:t>
      </w:r>
      <w:r>
        <w:rPr>
          <w:rFonts w:cs="Arial"/>
          <w:szCs w:val="22"/>
        </w:rPr>
        <w:t xml:space="preserve"> CFS, </w:t>
      </w:r>
      <w:r w:rsidR="00E8219F" w:rsidRPr="003E7621">
        <w:rPr>
          <w:rFonts w:cs="Arial"/>
          <w:szCs w:val="22"/>
        </w:rPr>
        <w:t xml:space="preserve">FSANZ undertook targeted consultation with </w:t>
      </w:r>
      <w:r w:rsidR="00E8219F">
        <w:rPr>
          <w:rFonts w:cs="Arial"/>
          <w:szCs w:val="22"/>
        </w:rPr>
        <w:t xml:space="preserve">the applicant and with </w:t>
      </w:r>
      <w:r w:rsidR="00E8219F" w:rsidRPr="003E7621">
        <w:rPr>
          <w:rFonts w:cs="Arial"/>
          <w:szCs w:val="22"/>
        </w:rPr>
        <w:t xml:space="preserve">jurisdictions </w:t>
      </w:r>
      <w:r>
        <w:rPr>
          <w:rFonts w:cs="Arial"/>
          <w:szCs w:val="22"/>
        </w:rPr>
        <w:t>between</w:t>
      </w:r>
      <w:r w:rsidR="00283F48">
        <w:rPr>
          <w:rFonts w:cs="Arial"/>
          <w:szCs w:val="22"/>
        </w:rPr>
        <w:t xml:space="preserve"> </w:t>
      </w:r>
      <w:r w:rsidR="00E8219F">
        <w:rPr>
          <w:rFonts w:cs="Arial"/>
          <w:szCs w:val="22"/>
        </w:rPr>
        <w:t>February-April</w:t>
      </w:r>
      <w:r w:rsidR="00E8219F" w:rsidRPr="003E7621">
        <w:rPr>
          <w:rFonts w:cs="Arial"/>
          <w:szCs w:val="22"/>
        </w:rPr>
        <w:t xml:space="preserve"> </w:t>
      </w:r>
      <w:r w:rsidRPr="003E7621">
        <w:rPr>
          <w:rFonts w:cs="Arial"/>
          <w:szCs w:val="22"/>
        </w:rPr>
        <w:t>20</w:t>
      </w:r>
      <w:r>
        <w:rPr>
          <w:rFonts w:cs="Arial"/>
          <w:szCs w:val="22"/>
        </w:rPr>
        <w:t xml:space="preserve">20. </w:t>
      </w:r>
      <w:r w:rsidR="00E8219F" w:rsidRPr="003E7621">
        <w:rPr>
          <w:rFonts w:cs="Arial"/>
          <w:szCs w:val="22"/>
        </w:rPr>
        <w:t>FSANZ’s preliminary position at 1</w:t>
      </w:r>
      <w:r w:rsidR="00E8219F" w:rsidRPr="003E7621">
        <w:rPr>
          <w:rFonts w:cs="Arial"/>
          <w:szCs w:val="22"/>
          <w:vertAlign w:val="superscript"/>
        </w:rPr>
        <w:t>st</w:t>
      </w:r>
      <w:r w:rsidR="00E8219F" w:rsidRPr="003E7621">
        <w:rPr>
          <w:rFonts w:cs="Arial"/>
          <w:szCs w:val="22"/>
        </w:rPr>
        <w:t xml:space="preserve"> CFS and issues raised in submissions</w:t>
      </w:r>
      <w:r>
        <w:rPr>
          <w:rFonts w:cs="Arial"/>
          <w:szCs w:val="22"/>
        </w:rPr>
        <w:t xml:space="preserve"> were discussed</w:t>
      </w:r>
      <w:r w:rsidR="00E8219F" w:rsidRPr="003E7621">
        <w:rPr>
          <w:rFonts w:cs="Arial"/>
          <w:szCs w:val="22"/>
        </w:rPr>
        <w:t xml:space="preserve">. FSANZ has </w:t>
      </w:r>
      <w:r>
        <w:rPr>
          <w:rFonts w:cs="Arial"/>
          <w:szCs w:val="22"/>
        </w:rPr>
        <w:t>responded to</w:t>
      </w:r>
      <w:r w:rsidRPr="003E7621">
        <w:rPr>
          <w:rFonts w:cs="Arial"/>
          <w:szCs w:val="22"/>
        </w:rPr>
        <w:t xml:space="preserve"> </w:t>
      </w:r>
      <w:r w:rsidR="00430B75">
        <w:rPr>
          <w:rFonts w:cs="Arial"/>
          <w:szCs w:val="22"/>
        </w:rPr>
        <w:t xml:space="preserve">relevant issues in the </w:t>
      </w:r>
      <w:r>
        <w:rPr>
          <w:rFonts w:cs="Arial"/>
          <w:szCs w:val="22"/>
        </w:rPr>
        <w:t>2</w:t>
      </w:r>
      <w:r w:rsidRPr="00331C21">
        <w:rPr>
          <w:rFonts w:cs="Arial"/>
          <w:szCs w:val="22"/>
          <w:vertAlign w:val="superscript"/>
        </w:rPr>
        <w:t>nd</w:t>
      </w:r>
      <w:r>
        <w:rPr>
          <w:rFonts w:cs="Arial"/>
          <w:szCs w:val="22"/>
        </w:rPr>
        <w:t xml:space="preserve"> CFS report</w:t>
      </w:r>
      <w:r w:rsidR="007B221E">
        <w:rPr>
          <w:rFonts w:cs="Arial"/>
          <w:szCs w:val="22"/>
        </w:rPr>
        <w:t xml:space="preserve"> (this report </w:t>
      </w:r>
      <w:r w:rsidR="0067305B">
        <w:rPr>
          <w:rFonts w:cs="Arial"/>
          <w:szCs w:val="22"/>
        </w:rPr>
        <w:t xml:space="preserve">– </w:t>
      </w:r>
      <w:r w:rsidR="00580374">
        <w:rPr>
          <w:rFonts w:cs="Arial"/>
          <w:szCs w:val="22"/>
        </w:rPr>
        <w:t>s</w:t>
      </w:r>
      <w:r w:rsidR="00430B75">
        <w:rPr>
          <w:rFonts w:cs="Arial"/>
          <w:szCs w:val="22"/>
        </w:rPr>
        <w:t>ee Table</w:t>
      </w:r>
      <w:r w:rsidR="00F076CD">
        <w:rPr>
          <w:rFonts w:cs="Arial"/>
          <w:szCs w:val="22"/>
        </w:rPr>
        <w:t>s</w:t>
      </w:r>
      <w:r w:rsidR="00430B75">
        <w:rPr>
          <w:rFonts w:cs="Arial"/>
          <w:szCs w:val="22"/>
        </w:rPr>
        <w:t xml:space="preserve"> 1</w:t>
      </w:r>
      <w:r w:rsidR="00F076CD">
        <w:rPr>
          <w:rFonts w:cs="Arial"/>
          <w:szCs w:val="22"/>
        </w:rPr>
        <w:t xml:space="preserve"> and 2</w:t>
      </w:r>
      <w:r w:rsidR="00580374">
        <w:rPr>
          <w:rFonts w:cs="Arial"/>
          <w:szCs w:val="22"/>
        </w:rPr>
        <w:t>,</w:t>
      </w:r>
      <w:r>
        <w:rPr>
          <w:rFonts w:cs="Arial"/>
          <w:szCs w:val="22"/>
        </w:rPr>
        <w:t xml:space="preserve"> Summary</w:t>
      </w:r>
      <w:r w:rsidR="00430B75">
        <w:rPr>
          <w:rFonts w:cs="Arial"/>
          <w:szCs w:val="22"/>
        </w:rPr>
        <w:t xml:space="preserve"> of Submissions</w:t>
      </w:r>
      <w:r w:rsidR="007B221E">
        <w:rPr>
          <w:rFonts w:cs="Arial"/>
          <w:szCs w:val="22"/>
        </w:rPr>
        <w:t>)</w:t>
      </w:r>
      <w:r w:rsidR="00430B75">
        <w:rPr>
          <w:rFonts w:cs="Arial"/>
          <w:szCs w:val="22"/>
        </w:rPr>
        <w:t xml:space="preserve">. </w:t>
      </w:r>
    </w:p>
    <w:p w14:paraId="7504DBBD" w14:textId="77777777" w:rsidR="00E8219F" w:rsidRPr="00022DBC" w:rsidRDefault="00E8219F" w:rsidP="00E8219F">
      <w:pPr>
        <w:pStyle w:val="Heading2"/>
      </w:pPr>
      <w:bookmarkStart w:id="142" w:name="_Toc26284653"/>
      <w:bookmarkStart w:id="143" w:name="_Toc26980512"/>
      <w:bookmarkStart w:id="144" w:name="_Toc41576670"/>
      <w:bookmarkStart w:id="145" w:name="_Toc42875232"/>
      <w:bookmarkStart w:id="146" w:name="_Toc43128136"/>
      <w:bookmarkEnd w:id="137"/>
      <w:bookmarkEnd w:id="138"/>
      <w:bookmarkEnd w:id="139"/>
      <w:r>
        <w:t>4</w:t>
      </w:r>
      <w:r w:rsidRPr="00022DBC">
        <w:t>.2</w:t>
      </w:r>
      <w:r w:rsidRPr="00022DBC">
        <w:tab/>
        <w:t>World Trade Organization (WTO)</w:t>
      </w:r>
      <w:bookmarkEnd w:id="142"/>
      <w:bookmarkEnd w:id="143"/>
      <w:bookmarkEnd w:id="144"/>
      <w:bookmarkEnd w:id="145"/>
      <w:bookmarkEnd w:id="146"/>
    </w:p>
    <w:p w14:paraId="566EC790" w14:textId="77777777" w:rsidR="00E8219F" w:rsidRPr="00DC6570" w:rsidRDefault="00E8219F" w:rsidP="00E8219F">
      <w:pPr>
        <w:widowControl/>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72EABA59" w14:textId="77777777" w:rsidR="00E8219F" w:rsidRDefault="00E8219F" w:rsidP="00E8219F">
      <w:pPr>
        <w:widowControl/>
        <w:rPr>
          <w:rFonts w:cs="Arial"/>
          <w:color w:val="000000"/>
        </w:rPr>
      </w:pPr>
    </w:p>
    <w:p w14:paraId="622613CA" w14:textId="30459002" w:rsidR="0063419B" w:rsidRDefault="00194EBB" w:rsidP="00E8219F">
      <w:pPr>
        <w:tabs>
          <w:tab w:val="left" w:pos="1560"/>
        </w:tabs>
        <w:rPr>
          <w:rFonts w:cs="Arial"/>
        </w:rPr>
      </w:pPr>
      <w:r>
        <w:rPr>
          <w:rFonts w:cs="Arial"/>
        </w:rPr>
        <w:t>A</w:t>
      </w:r>
      <w:r w:rsidR="00E8219F" w:rsidRPr="003E7621">
        <w:rPr>
          <w:rFonts w:cs="Arial"/>
        </w:rPr>
        <w:t xml:space="preserve">mending the Code to permit the </w:t>
      </w:r>
      <w:r w:rsidR="00E8219F" w:rsidRPr="00404C6F">
        <w:rPr>
          <w:rFonts w:cs="Arial"/>
          <w:i/>
        </w:rPr>
        <w:t xml:space="preserve">voluntary </w:t>
      </w:r>
      <w:r w:rsidR="00E8219F" w:rsidRPr="003E7621">
        <w:rPr>
          <w:rFonts w:cs="Arial"/>
        </w:rPr>
        <w:t xml:space="preserve">addition of </w:t>
      </w:r>
      <w:r w:rsidR="00E8219F">
        <w:rPr>
          <w:rFonts w:cs="Arial"/>
        </w:rPr>
        <w:t xml:space="preserve">soy leghemoglobin </w:t>
      </w:r>
      <w:r w:rsidR="000E702F">
        <w:rPr>
          <w:rFonts w:cs="Arial"/>
        </w:rPr>
        <w:t xml:space="preserve">in </w:t>
      </w:r>
      <w:r w:rsidR="00E8219F">
        <w:rPr>
          <w:rFonts w:cs="Arial"/>
        </w:rPr>
        <w:t>meat analogue products</w:t>
      </w:r>
      <w:r w:rsidR="00E8219F" w:rsidRPr="003E7621">
        <w:rPr>
          <w:rFonts w:cs="Arial"/>
        </w:rPr>
        <w:t xml:space="preserve"> as proposed</w:t>
      </w:r>
      <w:r>
        <w:rPr>
          <w:rFonts w:cs="Arial"/>
        </w:rPr>
        <w:t xml:space="preserve"> </w:t>
      </w:r>
      <w:r w:rsidRPr="00430B75">
        <w:rPr>
          <w:rFonts w:cs="Arial"/>
        </w:rPr>
        <w:t xml:space="preserve">in </w:t>
      </w:r>
      <w:r w:rsidR="008815B9">
        <w:rPr>
          <w:rFonts w:cs="Arial"/>
        </w:rPr>
        <w:t xml:space="preserve">this report </w:t>
      </w:r>
      <w:r w:rsidR="00E8219F" w:rsidRPr="003E7621">
        <w:rPr>
          <w:rFonts w:cs="Arial"/>
        </w:rPr>
        <w:t>is unlikely to have a significant effect on international trade</w:t>
      </w:r>
      <w:r>
        <w:rPr>
          <w:rFonts w:cs="Arial"/>
        </w:rPr>
        <w:t>,</w:t>
      </w:r>
      <w:r w:rsidR="00E8219F" w:rsidRPr="003E7621">
        <w:rPr>
          <w:rFonts w:cs="Arial"/>
        </w:rPr>
        <w:t xml:space="preserve"> </w:t>
      </w:r>
      <w:r w:rsidR="00BB035D">
        <w:rPr>
          <w:rFonts w:cs="Arial"/>
        </w:rPr>
        <w:t xml:space="preserve">particularly </w:t>
      </w:r>
      <w:r w:rsidR="00E8219F" w:rsidRPr="003E7621">
        <w:rPr>
          <w:rFonts w:cs="Arial"/>
        </w:rPr>
        <w:t xml:space="preserve">as </w:t>
      </w:r>
      <w:r>
        <w:rPr>
          <w:rFonts w:cs="Arial"/>
        </w:rPr>
        <w:t xml:space="preserve">soy leghemoglobin </w:t>
      </w:r>
      <w:r w:rsidR="00E8219F">
        <w:rPr>
          <w:rFonts w:cs="Arial"/>
        </w:rPr>
        <w:t>is</w:t>
      </w:r>
      <w:r w:rsidR="00E8219F" w:rsidRPr="003E7621">
        <w:rPr>
          <w:rFonts w:cs="Arial"/>
        </w:rPr>
        <w:t xml:space="preserve"> already permitted in similar products </w:t>
      </w:r>
      <w:r w:rsidR="00BB035D">
        <w:rPr>
          <w:rFonts w:cs="Arial"/>
        </w:rPr>
        <w:t>in other countries</w:t>
      </w:r>
      <w:r w:rsidR="00E8219F" w:rsidRPr="003E7621">
        <w:rPr>
          <w:rFonts w:cs="Arial"/>
        </w:rPr>
        <w:t>.</w:t>
      </w:r>
      <w:r w:rsidR="00F65D3F">
        <w:rPr>
          <w:rFonts w:cs="Arial"/>
        </w:rPr>
        <w:t xml:space="preserve"> </w:t>
      </w:r>
    </w:p>
    <w:p w14:paraId="14501545" w14:textId="77777777" w:rsidR="0063419B" w:rsidRDefault="0063419B" w:rsidP="00E8219F">
      <w:pPr>
        <w:tabs>
          <w:tab w:val="left" w:pos="1560"/>
        </w:tabs>
        <w:rPr>
          <w:rFonts w:cs="Arial"/>
        </w:rPr>
      </w:pPr>
    </w:p>
    <w:p w14:paraId="52590F51" w14:textId="658F174C" w:rsidR="00E8219F" w:rsidRDefault="0063419B" w:rsidP="00E8219F">
      <w:pPr>
        <w:tabs>
          <w:tab w:val="left" w:pos="1560"/>
        </w:tabs>
        <w:rPr>
          <w:rFonts w:cs="Arial"/>
        </w:rPr>
      </w:pPr>
      <w:r>
        <w:rPr>
          <w:rFonts w:cs="Arial"/>
        </w:rPr>
        <w:t>In addition, c</w:t>
      </w:r>
      <w:r w:rsidR="00F65D3F">
        <w:rPr>
          <w:rFonts w:cs="Arial"/>
        </w:rPr>
        <w:t xml:space="preserve">urrent patents held by the applicant are likely to </w:t>
      </w:r>
      <w:r w:rsidR="008815B9">
        <w:rPr>
          <w:rFonts w:cs="Arial"/>
        </w:rPr>
        <w:t>restrict</w:t>
      </w:r>
      <w:r w:rsidR="00F65D3F">
        <w:rPr>
          <w:rFonts w:cs="Arial"/>
        </w:rPr>
        <w:t xml:space="preserve"> the sale of this ingredient beyond Impo</w:t>
      </w:r>
      <w:r w:rsidR="008815B9">
        <w:rPr>
          <w:rFonts w:cs="Arial"/>
        </w:rPr>
        <w:t>s</w:t>
      </w:r>
      <w:r w:rsidR="00E1362C">
        <w:rPr>
          <w:rFonts w:cs="Arial"/>
        </w:rPr>
        <w:t>sible</w:t>
      </w:r>
      <w:r w:rsidR="00F65D3F">
        <w:rPr>
          <w:rFonts w:cs="Arial"/>
        </w:rPr>
        <w:t xml:space="preserve"> products for the foreseeable future.</w:t>
      </w:r>
    </w:p>
    <w:p w14:paraId="35080E40" w14:textId="77777777" w:rsidR="00E8219F" w:rsidRDefault="00E8219F" w:rsidP="00E8219F">
      <w:pPr>
        <w:tabs>
          <w:tab w:val="left" w:pos="1560"/>
        </w:tabs>
        <w:rPr>
          <w:rFonts w:cs="Arial"/>
        </w:rPr>
      </w:pPr>
    </w:p>
    <w:p w14:paraId="217AB8F3" w14:textId="66F80526" w:rsidR="00E8219F" w:rsidRPr="003E7621" w:rsidRDefault="00E8219F" w:rsidP="00E8219F">
      <w:pPr>
        <w:tabs>
          <w:tab w:val="left" w:pos="1560"/>
        </w:tabs>
        <w:rPr>
          <w:rFonts w:cs="Arial"/>
          <w:iCs/>
        </w:rPr>
      </w:pPr>
      <w:r w:rsidRPr="003E7621">
        <w:rPr>
          <w:rFonts w:cs="Arial"/>
          <w:iCs/>
        </w:rPr>
        <w:t xml:space="preserve">Therefore, a notification to the WTO under </w:t>
      </w:r>
      <w:r w:rsidRPr="003E7621">
        <w:rPr>
          <w:rFonts w:cs="Arial"/>
        </w:rPr>
        <w:t>Australia’s and New Zealand’s</w:t>
      </w:r>
      <w:r w:rsidRPr="003E7621">
        <w:rPr>
          <w:rFonts w:cs="Arial"/>
          <w:iCs/>
        </w:rPr>
        <w:t xml:space="preserve"> obligations under the WTO Technical Barriers to Trade or Application of Sanitary and Phytosanitary Measures Agreement was not considered necessary.</w:t>
      </w:r>
    </w:p>
    <w:p w14:paraId="5DC02AA7" w14:textId="77777777" w:rsidR="00E520FE" w:rsidRDefault="00E520FE" w:rsidP="00E520FE">
      <w:pPr>
        <w:tabs>
          <w:tab w:val="left" w:pos="1560"/>
        </w:tabs>
        <w:rPr>
          <w:rFonts w:cs="Arial"/>
        </w:rPr>
      </w:pPr>
    </w:p>
    <w:p w14:paraId="68E5DCCF" w14:textId="118AA4C1" w:rsidR="00E520FE" w:rsidRDefault="00E8219F" w:rsidP="00E8219F">
      <w:pPr>
        <w:pStyle w:val="Heading1"/>
      </w:pPr>
      <w:bookmarkStart w:id="147" w:name="_Toc41576671"/>
      <w:bookmarkStart w:id="148" w:name="_Toc42875233"/>
      <w:bookmarkStart w:id="149" w:name="_Toc43128137"/>
      <w:r>
        <w:lastRenderedPageBreak/>
        <w:t>5</w:t>
      </w:r>
      <w:r w:rsidR="00022DBC">
        <w:tab/>
        <w:t>FSANZ Act assessment requirements</w:t>
      </w:r>
      <w:bookmarkEnd w:id="147"/>
      <w:bookmarkEnd w:id="148"/>
      <w:bookmarkEnd w:id="149"/>
    </w:p>
    <w:p w14:paraId="05462242" w14:textId="77777777" w:rsidR="00E8219F" w:rsidRPr="003E1B4C" w:rsidRDefault="00E8219F" w:rsidP="00E8219F">
      <w:pPr>
        <w:widowControl/>
      </w:pPr>
      <w:r w:rsidRPr="003E1B4C">
        <w:t>When assessing this Application</w:t>
      </w:r>
      <w:r>
        <w:t>,</w:t>
      </w:r>
      <w:r w:rsidRPr="003E1B4C">
        <w:t xml:space="preserve"> and the subsequent development of a food regulatory measure, FSANZ has had regard to the </w:t>
      </w:r>
      <w:r w:rsidRPr="003E1B4C" w:rsidDel="00932F14">
        <w:t xml:space="preserve">following </w:t>
      </w:r>
      <w:r w:rsidRPr="003E1B4C">
        <w:t xml:space="preserve">matters in section </w:t>
      </w:r>
      <w:r>
        <w:t>29</w:t>
      </w:r>
      <w:r w:rsidRPr="003E1B4C">
        <w:t xml:space="preserve"> of the FSANZ Act:</w:t>
      </w:r>
    </w:p>
    <w:p w14:paraId="347EE7F5" w14:textId="134661A0" w:rsidR="00726C2F" w:rsidRPr="00E8219F" w:rsidRDefault="00726C2F" w:rsidP="00E8219F">
      <w:pPr>
        <w:pStyle w:val="Heading2"/>
      </w:pPr>
      <w:bookmarkStart w:id="150" w:name="_Toc41576672"/>
      <w:bookmarkStart w:id="151" w:name="_Toc42875234"/>
      <w:bookmarkStart w:id="152" w:name="_Toc43128138"/>
      <w:r w:rsidRPr="00E8219F">
        <w:t>5.1</w:t>
      </w:r>
      <w:r w:rsidRPr="00E8219F">
        <w:tab/>
        <w:t>Section 29</w:t>
      </w:r>
      <w:bookmarkEnd w:id="150"/>
      <w:bookmarkEnd w:id="151"/>
      <w:bookmarkEnd w:id="152"/>
    </w:p>
    <w:p w14:paraId="30B1F17A" w14:textId="4C51A9FC" w:rsidR="003D1755" w:rsidRPr="00E8219F" w:rsidRDefault="003D1755" w:rsidP="00E8219F">
      <w:pPr>
        <w:pStyle w:val="Heading3"/>
      </w:pPr>
      <w:bookmarkStart w:id="153" w:name="_Toc26980515"/>
      <w:bookmarkStart w:id="154" w:name="_Toc41576673"/>
      <w:bookmarkStart w:id="155" w:name="_Toc42875235"/>
      <w:bookmarkStart w:id="156" w:name="_Toc43128139"/>
      <w:r w:rsidRPr="00E8219F">
        <w:t>5.1.1</w:t>
      </w:r>
      <w:r w:rsidRPr="00E8219F">
        <w:tab/>
        <w:t>Consideration of costs and benefits</w:t>
      </w:r>
      <w:bookmarkEnd w:id="153"/>
      <w:bookmarkEnd w:id="154"/>
      <w:bookmarkEnd w:id="155"/>
      <w:bookmarkEnd w:id="156"/>
    </w:p>
    <w:p w14:paraId="678C5A12" w14:textId="3D328BED" w:rsidR="00050C0B" w:rsidRDefault="00050C0B" w:rsidP="000143DF">
      <w:pPr>
        <w:widowControl/>
        <w:rPr>
          <w:szCs w:val="22"/>
        </w:rPr>
      </w:pPr>
      <w:r>
        <w:t xml:space="preserve">FSANZ has assessed soy leghemoglobin (in the form of LegH Prep) as a food produced using gene technology and </w:t>
      </w:r>
      <w:r>
        <w:rPr>
          <w:szCs w:val="22"/>
        </w:rPr>
        <w:t xml:space="preserve">as a nutritive substance. </w:t>
      </w:r>
    </w:p>
    <w:p w14:paraId="0708A202" w14:textId="77777777" w:rsidR="00050C0B" w:rsidRDefault="00050C0B" w:rsidP="000143DF">
      <w:pPr>
        <w:widowControl/>
        <w:rPr>
          <w:lang w:bidi="ar-SA"/>
        </w:rPr>
      </w:pPr>
    </w:p>
    <w:p w14:paraId="5E9810AE" w14:textId="77777777" w:rsidR="005440CC" w:rsidRDefault="003D1755" w:rsidP="003D1755">
      <w:pPr>
        <w:widowControl/>
        <w:rPr>
          <w:rFonts w:cs="Arial"/>
          <w:lang w:val="en-AU"/>
        </w:rPr>
      </w:pPr>
      <w:r>
        <w:rPr>
          <w:lang w:bidi="ar-SA"/>
        </w:rPr>
        <w:t>The Office of Best Practice Regulation (OBPR) granted FSANZ a standing exemption from the requirement to develop a Regulatory Impact Statement</w:t>
      </w:r>
      <w:r w:rsidR="000143DF">
        <w:rPr>
          <w:lang w:bidi="ar-SA"/>
        </w:rPr>
        <w:t xml:space="preserve"> (RIS)</w:t>
      </w:r>
      <w:r>
        <w:rPr>
          <w:lang w:bidi="ar-SA"/>
        </w:rPr>
        <w:t xml:space="preserve"> for permitting genetically modified </w:t>
      </w:r>
      <w:r w:rsidR="00D329F6">
        <w:rPr>
          <w:lang w:bidi="ar-SA"/>
        </w:rPr>
        <w:t>foods</w:t>
      </w:r>
      <w:r>
        <w:rPr>
          <w:lang w:bidi="ar-SA"/>
        </w:rPr>
        <w:t xml:space="preserve"> (OBPR correspondence dated 24 November </w:t>
      </w:r>
      <w:r w:rsidRPr="00C14056">
        <w:rPr>
          <w:lang w:bidi="ar-SA"/>
        </w:rPr>
        <w:t>2010</w:t>
      </w:r>
      <w:r w:rsidR="00E1250D">
        <w:rPr>
          <w:lang w:bidi="ar-SA"/>
        </w:rPr>
        <w:t>,</w:t>
      </w:r>
      <w:r>
        <w:rPr>
          <w:lang w:bidi="ar-SA"/>
        </w:rPr>
        <w:t xml:space="preserve"> reference 12065)</w:t>
      </w:r>
      <w:r w:rsidR="00D329F6">
        <w:rPr>
          <w:lang w:bidi="ar-SA"/>
        </w:rPr>
        <w:t xml:space="preserve"> and </w:t>
      </w:r>
      <w:r w:rsidR="00973489">
        <w:rPr>
          <w:lang w:bidi="ar-SA"/>
        </w:rPr>
        <w:t xml:space="preserve">for </w:t>
      </w:r>
      <w:r w:rsidR="00D329F6">
        <w:rPr>
          <w:lang w:bidi="ar-SA"/>
        </w:rPr>
        <w:t>the</w:t>
      </w:r>
      <w:r w:rsidR="000143DF">
        <w:rPr>
          <w:lang w:bidi="ar-SA"/>
        </w:rPr>
        <w:t xml:space="preserve"> </w:t>
      </w:r>
      <w:r w:rsidR="000143DF">
        <w:rPr>
          <w:rFonts w:cs="Arial"/>
          <w:lang w:val="en-AU"/>
        </w:rPr>
        <w:t>voluntary addition of nutritive substances to foods (OBPR correspondence dated 16 April 2013, referen</w:t>
      </w:r>
      <w:r w:rsidR="005440CC">
        <w:rPr>
          <w:rFonts w:cs="Arial"/>
          <w:lang w:val="en-AU"/>
        </w:rPr>
        <w:t>ce 14943).</w:t>
      </w:r>
    </w:p>
    <w:p w14:paraId="2B636EDC" w14:textId="77777777" w:rsidR="005440CC" w:rsidRDefault="005440CC" w:rsidP="003D1755">
      <w:pPr>
        <w:widowControl/>
        <w:rPr>
          <w:rFonts w:cs="Arial"/>
          <w:lang w:val="en-AU"/>
        </w:rPr>
      </w:pPr>
    </w:p>
    <w:p w14:paraId="3F989481" w14:textId="30AE579A" w:rsidR="003D1755" w:rsidRPr="005440CC" w:rsidRDefault="003D1755" w:rsidP="003D1755">
      <w:pPr>
        <w:widowControl/>
        <w:rPr>
          <w:rFonts w:cs="Arial"/>
          <w:szCs w:val="22"/>
          <w:lang w:val="en-AU" w:bidi="ar-SA"/>
        </w:rPr>
      </w:pPr>
      <w:r>
        <w:rPr>
          <w:lang w:bidi="ar-SA"/>
        </w:rPr>
        <w:t xml:space="preserve">However, for the purposes of meeting FSANZ Act considerations, FSANZ has given consideration to the costs and benefits that may arise from the measure sought by the application. The FSANZ Act requires FSANZ to have regard to whether costs that would arise from a proposed measure outweigh the direct and indirect benefits to the community, government or industry that would arise from that proposed measure (paragraph 29(2)(a)). </w:t>
      </w:r>
    </w:p>
    <w:p w14:paraId="5B85F2B3" w14:textId="77777777" w:rsidR="003D1755" w:rsidRDefault="003D1755" w:rsidP="003D1755">
      <w:pPr>
        <w:pStyle w:val="FSTitle"/>
        <w:widowControl/>
        <w:rPr>
          <w:rFonts w:cs="Times New Roman"/>
          <w:bCs w:val="0"/>
          <w:sz w:val="22"/>
          <w:lang w:bidi="ar-SA"/>
        </w:rPr>
      </w:pPr>
    </w:p>
    <w:p w14:paraId="3CBCB510" w14:textId="3E914BFB" w:rsidR="003D1755" w:rsidRDefault="003D1755" w:rsidP="003D1755">
      <w:pPr>
        <w:widowControl/>
        <w:rPr>
          <w:bCs/>
          <w:lang w:bidi="ar-SA"/>
        </w:rPr>
      </w:pPr>
      <w:r>
        <w:rPr>
          <w:lang w:bidi="ar-SA"/>
        </w:rPr>
        <w:t xml:space="preserve">The purpose of this consideration is to determine if the community, government and industry as a whole is likely to benefit, on balance, from a move from the status quo, i.e. rejecting the application. This analysis considers </w:t>
      </w:r>
      <w:r>
        <w:rPr>
          <w:bCs/>
          <w:lang w:bidi="ar-SA"/>
        </w:rPr>
        <w:t>permittin</w:t>
      </w:r>
      <w:r w:rsidR="00916FCC">
        <w:rPr>
          <w:bCs/>
          <w:lang w:bidi="ar-SA"/>
        </w:rPr>
        <w:t xml:space="preserve">g the voluntary use of soy leghemoglobin </w:t>
      </w:r>
      <w:r w:rsidR="00D25AD3">
        <w:rPr>
          <w:bCs/>
          <w:lang w:bidi="ar-SA"/>
        </w:rPr>
        <w:t>(</w:t>
      </w:r>
      <w:r w:rsidR="00916FCC">
        <w:rPr>
          <w:bCs/>
          <w:lang w:bidi="ar-SA"/>
        </w:rPr>
        <w:t>in the form of LegH Prep</w:t>
      </w:r>
      <w:r w:rsidR="0027369B">
        <w:rPr>
          <w:bCs/>
          <w:lang w:bidi="ar-SA"/>
        </w:rPr>
        <w:t>)</w:t>
      </w:r>
      <w:r>
        <w:rPr>
          <w:bCs/>
          <w:lang w:bidi="ar-SA"/>
        </w:rPr>
        <w:t xml:space="preserve"> in meat analogue products </w:t>
      </w:r>
      <w:r w:rsidRPr="00916FCC">
        <w:rPr>
          <w:bCs/>
          <w:lang w:bidi="ar-SA"/>
        </w:rPr>
        <w:t xml:space="preserve">as </w:t>
      </w:r>
      <w:r w:rsidRPr="00404C6F">
        <w:rPr>
          <w:bCs/>
          <w:lang w:bidi="ar-SA"/>
        </w:rPr>
        <w:t xml:space="preserve">a </w:t>
      </w:r>
      <w:r w:rsidR="00916FCC" w:rsidRPr="00404C6F">
        <w:rPr>
          <w:bCs/>
          <w:lang w:bidi="ar-SA"/>
        </w:rPr>
        <w:t>substance</w:t>
      </w:r>
      <w:r w:rsidR="00916FCC" w:rsidRPr="00916FCC">
        <w:rPr>
          <w:bCs/>
          <w:i/>
          <w:lang w:bidi="ar-SA"/>
        </w:rPr>
        <w:t xml:space="preserve"> used </w:t>
      </w:r>
      <w:r w:rsidR="00580374">
        <w:rPr>
          <w:bCs/>
          <w:i/>
          <w:lang w:bidi="ar-SA"/>
        </w:rPr>
        <w:t>as</w:t>
      </w:r>
      <w:r w:rsidR="00580374" w:rsidRPr="00916FCC">
        <w:rPr>
          <w:bCs/>
          <w:i/>
          <w:lang w:bidi="ar-SA"/>
        </w:rPr>
        <w:t xml:space="preserve"> </w:t>
      </w:r>
      <w:r w:rsidR="00916FCC" w:rsidRPr="00916FCC">
        <w:rPr>
          <w:bCs/>
          <w:i/>
          <w:lang w:bidi="ar-SA"/>
        </w:rPr>
        <w:t xml:space="preserve">a nutritive </w:t>
      </w:r>
      <w:r w:rsidR="00580374">
        <w:rPr>
          <w:bCs/>
          <w:i/>
          <w:lang w:bidi="ar-SA"/>
        </w:rPr>
        <w:t>substance</w:t>
      </w:r>
      <w:r w:rsidR="00580374">
        <w:rPr>
          <w:bCs/>
          <w:lang w:bidi="ar-SA"/>
        </w:rPr>
        <w:t xml:space="preserve"> </w:t>
      </w:r>
      <w:r w:rsidR="00916FCC">
        <w:rPr>
          <w:bCs/>
          <w:lang w:bidi="ar-SA"/>
        </w:rPr>
        <w:t>(permitted form of</w:t>
      </w:r>
      <w:r>
        <w:rPr>
          <w:bCs/>
          <w:lang w:bidi="ar-SA"/>
        </w:rPr>
        <w:t xml:space="preserve"> iron</w:t>
      </w:r>
      <w:r w:rsidR="00916FCC">
        <w:rPr>
          <w:bCs/>
          <w:lang w:bidi="ar-SA"/>
        </w:rPr>
        <w:t>)</w:t>
      </w:r>
      <w:r>
        <w:rPr>
          <w:bCs/>
          <w:lang w:bidi="ar-SA"/>
        </w:rPr>
        <w:t xml:space="preserve"> and as a </w:t>
      </w:r>
      <w:r>
        <w:rPr>
          <w:bCs/>
          <w:i/>
          <w:lang w:bidi="ar-SA"/>
        </w:rPr>
        <w:t>food produced using gene technology</w:t>
      </w:r>
      <w:r>
        <w:rPr>
          <w:bCs/>
          <w:lang w:bidi="ar-SA"/>
        </w:rPr>
        <w:t xml:space="preserve">. </w:t>
      </w:r>
    </w:p>
    <w:p w14:paraId="2E7B0034" w14:textId="77777777" w:rsidR="003D1755" w:rsidRDefault="003D1755" w:rsidP="003D1755">
      <w:pPr>
        <w:widowControl/>
        <w:rPr>
          <w:lang w:bidi="ar-SA"/>
        </w:rPr>
      </w:pPr>
    </w:p>
    <w:p w14:paraId="3FC3991E" w14:textId="0818F8EE" w:rsidR="003D1755" w:rsidRDefault="003D1755" w:rsidP="003D1755">
      <w:pPr>
        <w:widowControl/>
        <w:rPr>
          <w:lang w:bidi="ar-SA"/>
        </w:rPr>
      </w:pPr>
      <w:r>
        <w:rPr>
          <w:lang w:bidi="ar-SA"/>
        </w:rPr>
        <w:t xml:space="preserve">FSANZ considers that no other realistic food regulatory measures exist, however information received </w:t>
      </w:r>
      <w:r w:rsidR="00631E6B">
        <w:rPr>
          <w:lang w:bidi="ar-SA"/>
        </w:rPr>
        <w:t>in response to</w:t>
      </w:r>
      <w:r w:rsidR="003F294F">
        <w:rPr>
          <w:lang w:bidi="ar-SA"/>
        </w:rPr>
        <w:t xml:space="preserve"> this </w:t>
      </w:r>
      <w:r w:rsidR="004C1F3E">
        <w:t>2nd</w:t>
      </w:r>
      <w:r w:rsidR="004C1F3E">
        <w:rPr>
          <w:lang w:bidi="ar-SA"/>
        </w:rPr>
        <w:t xml:space="preserve"> </w:t>
      </w:r>
      <w:r w:rsidR="003F294F">
        <w:rPr>
          <w:lang w:bidi="ar-SA"/>
        </w:rPr>
        <w:t xml:space="preserve">CFS </w:t>
      </w:r>
      <w:r>
        <w:rPr>
          <w:lang w:bidi="ar-SA"/>
        </w:rPr>
        <w:t>may result in FSANZ arriving at a different outcome.</w:t>
      </w:r>
    </w:p>
    <w:p w14:paraId="4DD5DFA7" w14:textId="77777777" w:rsidR="003D1755" w:rsidRDefault="003D1755" w:rsidP="003D1755">
      <w:pPr>
        <w:widowControl/>
        <w:rPr>
          <w:lang w:bidi="ar-SA"/>
        </w:rPr>
      </w:pPr>
    </w:p>
    <w:p w14:paraId="20F1D5A6" w14:textId="3E8FF011" w:rsidR="003D1755" w:rsidRDefault="003D1755" w:rsidP="003D1755">
      <w:pPr>
        <w:widowControl/>
        <w:rPr>
          <w:rFonts w:eastAsia="Calibri"/>
          <w:lang w:eastAsia="en-AU"/>
        </w:rPr>
      </w:pPr>
      <w:r>
        <w:rPr>
          <w:lang w:bidi="ar-SA"/>
        </w:rPr>
        <w:t>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voluntary addition of so</w:t>
      </w:r>
      <w:r w:rsidR="00916FCC">
        <w:rPr>
          <w:lang w:bidi="ar-SA"/>
        </w:rPr>
        <w:t xml:space="preserve">y leghemoglobin </w:t>
      </w:r>
      <w:r w:rsidR="00B80972">
        <w:rPr>
          <w:lang w:bidi="ar-SA"/>
        </w:rPr>
        <w:t>(</w:t>
      </w:r>
      <w:r w:rsidR="00916FCC">
        <w:rPr>
          <w:lang w:bidi="ar-SA"/>
        </w:rPr>
        <w:t>in the form of LegH Prep</w:t>
      </w:r>
      <w:r w:rsidR="00B80972">
        <w:rPr>
          <w:lang w:bidi="ar-SA"/>
        </w:rPr>
        <w:t>)</w:t>
      </w:r>
      <w:r>
        <w:rPr>
          <w:lang w:bidi="ar-SA"/>
        </w:rPr>
        <w:t xml:space="preserve"> to meat analogue products.</w:t>
      </w:r>
    </w:p>
    <w:p w14:paraId="789DFBD2" w14:textId="77777777" w:rsidR="003D1755" w:rsidRDefault="003D1755" w:rsidP="003D1755">
      <w:pPr>
        <w:pStyle w:val="Heading4"/>
        <w:rPr>
          <w:rFonts w:eastAsia="Calibri"/>
          <w:lang w:eastAsia="en-AU"/>
        </w:rPr>
      </w:pPr>
      <w:r>
        <w:rPr>
          <w:rFonts w:eastAsia="Calibri"/>
          <w:b w:val="0"/>
          <w:bCs w:val="0"/>
          <w:lang w:eastAsia="en-AU"/>
        </w:rPr>
        <w:t>Industry</w:t>
      </w:r>
    </w:p>
    <w:p w14:paraId="5FD2A22B" w14:textId="4FFFFB33" w:rsidR="003D1755" w:rsidRDefault="003D1755" w:rsidP="003D1755">
      <w:pPr>
        <w:widowControl/>
        <w:rPr>
          <w:highlight w:val="yellow"/>
        </w:rPr>
      </w:pPr>
      <w:r>
        <w:rPr>
          <w:bCs/>
          <w:lang w:bidi="ar-SA"/>
        </w:rPr>
        <w:t>Approving this product will provide the applicant with the capacity to earn revenue from their innovation in Australia and New Zealand. Australia</w:t>
      </w:r>
      <w:r>
        <w:t xml:space="preserve"> and New Zealand businesses will be able to purchase and sell</w:t>
      </w:r>
      <w:r w:rsidR="00F96AF3">
        <w:t xml:space="preserve"> </w:t>
      </w:r>
      <w:r w:rsidR="00F96AF3">
        <w:rPr>
          <w:bCs/>
          <w:lang w:bidi="ar-SA"/>
        </w:rPr>
        <w:t>Impossible</w:t>
      </w:r>
      <w:r>
        <w:t xml:space="preserve"> </w:t>
      </w:r>
      <w:r w:rsidR="006253BE">
        <w:t xml:space="preserve">branded </w:t>
      </w:r>
      <w:r>
        <w:t xml:space="preserve">meat analogue products containing </w:t>
      </w:r>
      <w:r>
        <w:rPr>
          <w:bCs/>
          <w:lang w:bidi="ar-SA"/>
        </w:rPr>
        <w:t>soy leghemoglobin</w:t>
      </w:r>
      <w:r w:rsidR="00B80972">
        <w:rPr>
          <w:bCs/>
          <w:lang w:bidi="ar-SA"/>
        </w:rPr>
        <w:t xml:space="preserve"> (in the form of LegH Prep)</w:t>
      </w:r>
      <w:r>
        <w:t xml:space="preserve"> if they believe they are likely to receive sufficient revenue in what is a potentially growing market sector. </w:t>
      </w:r>
    </w:p>
    <w:p w14:paraId="2EA447A1" w14:textId="77777777" w:rsidR="003D1755" w:rsidRDefault="003D1755" w:rsidP="003D1755">
      <w:pPr>
        <w:pStyle w:val="Heading4"/>
      </w:pPr>
      <w:r>
        <w:rPr>
          <w:b w:val="0"/>
          <w:bCs w:val="0"/>
        </w:rPr>
        <w:t>Consumers</w:t>
      </w:r>
    </w:p>
    <w:p w14:paraId="24992A64" w14:textId="3FE782FF" w:rsidR="00D06ECD" w:rsidRDefault="000C15C1" w:rsidP="003D1755">
      <w:pPr>
        <w:widowControl/>
        <w:rPr>
          <w:lang w:bidi="ar-SA"/>
        </w:rPr>
      </w:pPr>
      <w:r>
        <w:rPr>
          <w:lang w:bidi="ar-SA"/>
        </w:rPr>
        <w:t xml:space="preserve">If </w:t>
      </w:r>
      <w:r w:rsidR="0027369B">
        <w:rPr>
          <w:lang w:bidi="ar-SA"/>
        </w:rPr>
        <w:t xml:space="preserve">the use of this product </w:t>
      </w:r>
      <w:r>
        <w:rPr>
          <w:lang w:bidi="ar-SA"/>
        </w:rPr>
        <w:t xml:space="preserve">is permitted </w:t>
      </w:r>
      <w:r w:rsidR="0027369B">
        <w:rPr>
          <w:lang w:bidi="ar-SA"/>
        </w:rPr>
        <w:t>as proposed</w:t>
      </w:r>
      <w:r>
        <w:rPr>
          <w:lang w:bidi="ar-SA"/>
        </w:rPr>
        <w:t>, c</w:t>
      </w:r>
      <w:r w:rsidR="003D1755">
        <w:rPr>
          <w:lang w:bidi="ar-SA"/>
        </w:rPr>
        <w:t xml:space="preserve">onsumers may benefit from greater choice of foods, particularly greater choice of </w:t>
      </w:r>
      <w:r>
        <w:rPr>
          <w:lang w:bidi="ar-SA"/>
        </w:rPr>
        <w:t xml:space="preserve">fortified </w:t>
      </w:r>
      <w:r w:rsidR="003D1755">
        <w:rPr>
          <w:lang w:bidi="ar-SA"/>
        </w:rPr>
        <w:t xml:space="preserve">meat </w:t>
      </w:r>
      <w:r>
        <w:rPr>
          <w:lang w:bidi="ar-SA"/>
        </w:rPr>
        <w:t>alternatives</w:t>
      </w:r>
      <w:r w:rsidR="003D1755">
        <w:rPr>
          <w:lang w:bidi="ar-SA"/>
        </w:rPr>
        <w:t>.</w:t>
      </w:r>
      <w:r w:rsidR="003D1755" w:rsidDel="0021162C">
        <w:rPr>
          <w:lang w:bidi="ar-SA"/>
        </w:rPr>
        <w:t xml:space="preserve"> </w:t>
      </w:r>
      <w:r w:rsidR="003D1755">
        <w:rPr>
          <w:lang w:bidi="ar-SA"/>
        </w:rPr>
        <w:t xml:space="preserve">The applicant is targeting their products at ‘flexitarians’, who they claim (on page 62 of the application) are looking for “more ethical and environmentally friendly alternative meat products without compromising on attributes such as the taste and texture”. </w:t>
      </w:r>
    </w:p>
    <w:p w14:paraId="52604632" w14:textId="0A8BFB15" w:rsidR="00E66E56" w:rsidRDefault="00E66E56" w:rsidP="002C6FDF">
      <w:pPr>
        <w:widowControl/>
        <w:rPr>
          <w:lang w:bidi="ar-SA"/>
        </w:rPr>
      </w:pPr>
    </w:p>
    <w:p w14:paraId="0372B875" w14:textId="17FB5508" w:rsidR="00E66E56" w:rsidRDefault="00E1362C" w:rsidP="00E66E56">
      <w:pPr>
        <w:widowControl/>
        <w:rPr>
          <w:szCs w:val="22"/>
        </w:rPr>
      </w:pPr>
      <w:r>
        <w:rPr>
          <w:szCs w:val="22"/>
        </w:rPr>
        <w:t>As Impossible</w:t>
      </w:r>
      <w:r w:rsidR="00E66E56">
        <w:rPr>
          <w:szCs w:val="22"/>
        </w:rPr>
        <w:t xml:space="preserve"> products are currently not for sale in Australia and New Zealand, we do not have cost data with which to undertake a market analysis. However, the applicant has provided information on US-specific product retail prices:</w:t>
      </w:r>
    </w:p>
    <w:p w14:paraId="631B16E6" w14:textId="0C75226E" w:rsidR="00E66E56" w:rsidRPr="00176163" w:rsidRDefault="00E1362C" w:rsidP="009B3571">
      <w:pPr>
        <w:pStyle w:val="ListParagraph"/>
        <w:widowControl/>
        <w:numPr>
          <w:ilvl w:val="0"/>
          <w:numId w:val="9"/>
        </w:numPr>
        <w:rPr>
          <w:lang w:bidi="ar-SA"/>
        </w:rPr>
      </w:pPr>
      <w:r>
        <w:rPr>
          <w:szCs w:val="22"/>
        </w:rPr>
        <w:t>Impossible</w:t>
      </w:r>
      <w:r w:rsidR="00E66E56" w:rsidRPr="00176163">
        <w:rPr>
          <w:szCs w:val="22"/>
        </w:rPr>
        <w:t xml:space="preserve"> </w:t>
      </w:r>
      <w:r w:rsidR="00E66E56">
        <w:rPr>
          <w:szCs w:val="22"/>
        </w:rPr>
        <w:t>mince: US$12/lb</w:t>
      </w:r>
    </w:p>
    <w:p w14:paraId="214A70D0" w14:textId="77777777" w:rsidR="00E66E56" w:rsidRPr="00176163" w:rsidRDefault="00E66E56" w:rsidP="009B3571">
      <w:pPr>
        <w:pStyle w:val="ListParagraph"/>
        <w:widowControl/>
        <w:numPr>
          <w:ilvl w:val="0"/>
          <w:numId w:val="9"/>
        </w:numPr>
        <w:rPr>
          <w:lang w:bidi="ar-SA"/>
        </w:rPr>
      </w:pPr>
      <w:r>
        <w:rPr>
          <w:szCs w:val="22"/>
        </w:rPr>
        <w:t>‘C</w:t>
      </w:r>
      <w:r w:rsidRPr="00176163">
        <w:rPr>
          <w:szCs w:val="22"/>
        </w:rPr>
        <w:t>ommodity 80/20 ground beef’</w:t>
      </w:r>
      <w:r>
        <w:rPr>
          <w:szCs w:val="22"/>
        </w:rPr>
        <w:t xml:space="preserve">: </w:t>
      </w:r>
      <w:r w:rsidRPr="00176163">
        <w:rPr>
          <w:szCs w:val="22"/>
        </w:rPr>
        <w:t>US$4-6/lb range</w:t>
      </w:r>
    </w:p>
    <w:p w14:paraId="3FD6ADAF" w14:textId="77777777" w:rsidR="00E66E56" w:rsidRPr="00176163" w:rsidRDefault="00E66E56" w:rsidP="009B3571">
      <w:pPr>
        <w:pStyle w:val="ListParagraph"/>
        <w:widowControl/>
        <w:numPr>
          <w:ilvl w:val="0"/>
          <w:numId w:val="9"/>
        </w:numPr>
        <w:rPr>
          <w:lang w:bidi="ar-SA"/>
        </w:rPr>
      </w:pPr>
      <w:r>
        <w:rPr>
          <w:szCs w:val="22"/>
        </w:rPr>
        <w:lastRenderedPageBreak/>
        <w:t>‘P</w:t>
      </w:r>
      <w:r w:rsidRPr="00176163">
        <w:rPr>
          <w:szCs w:val="22"/>
        </w:rPr>
        <w:t>remium, organic ground beef’</w:t>
      </w:r>
      <w:r>
        <w:rPr>
          <w:szCs w:val="22"/>
        </w:rPr>
        <w:t xml:space="preserve">: </w:t>
      </w:r>
      <w:r w:rsidRPr="00176163">
        <w:rPr>
          <w:szCs w:val="22"/>
        </w:rPr>
        <w:t xml:space="preserve">US$8-9/lb range </w:t>
      </w:r>
    </w:p>
    <w:p w14:paraId="372C1478" w14:textId="6B650EED" w:rsidR="00E66E56" w:rsidRDefault="00E66E56" w:rsidP="009B3571">
      <w:pPr>
        <w:pStyle w:val="ListParagraph"/>
        <w:widowControl/>
        <w:numPr>
          <w:ilvl w:val="0"/>
          <w:numId w:val="9"/>
        </w:numPr>
        <w:rPr>
          <w:lang w:bidi="ar-SA"/>
        </w:rPr>
      </w:pPr>
      <w:r>
        <w:rPr>
          <w:szCs w:val="22"/>
        </w:rPr>
        <w:t>‘Super premium’:</w:t>
      </w:r>
      <w:r w:rsidRPr="00176163">
        <w:rPr>
          <w:szCs w:val="22"/>
        </w:rPr>
        <w:t xml:space="preserve"> similar price point to </w:t>
      </w:r>
      <w:r w:rsidR="008E19AB">
        <w:rPr>
          <w:szCs w:val="22"/>
        </w:rPr>
        <w:t>Impossi</w:t>
      </w:r>
      <w:r w:rsidR="00E1362C">
        <w:rPr>
          <w:szCs w:val="22"/>
        </w:rPr>
        <w:t>ble</w:t>
      </w:r>
      <w:r w:rsidR="008E19AB">
        <w:rPr>
          <w:szCs w:val="22"/>
        </w:rPr>
        <w:t xml:space="preserve"> mince</w:t>
      </w:r>
      <w:r w:rsidRPr="00176163">
        <w:rPr>
          <w:szCs w:val="22"/>
        </w:rPr>
        <w:t xml:space="preserve">. </w:t>
      </w:r>
    </w:p>
    <w:p w14:paraId="6A1BD4D6" w14:textId="3FA86610" w:rsidR="00D06ECD" w:rsidRDefault="00D06ECD" w:rsidP="003D1755">
      <w:pPr>
        <w:widowControl/>
        <w:rPr>
          <w:lang w:bidi="ar-SA"/>
        </w:rPr>
      </w:pPr>
    </w:p>
    <w:p w14:paraId="401A54D3" w14:textId="11C59674" w:rsidR="00397733" w:rsidRDefault="00FF7850" w:rsidP="00397733">
      <w:pPr>
        <w:widowControl/>
        <w:rPr>
          <w:lang w:bidi="ar-SA"/>
        </w:rPr>
      </w:pPr>
      <w:r>
        <w:rPr>
          <w:lang w:bidi="ar-SA"/>
        </w:rPr>
        <w:t>This suggests that</w:t>
      </w:r>
      <w:r w:rsidR="00397733">
        <w:rPr>
          <w:lang w:bidi="ar-SA"/>
        </w:rPr>
        <w:t>, in the US,</w:t>
      </w:r>
      <w:r>
        <w:rPr>
          <w:lang w:bidi="ar-SA"/>
        </w:rPr>
        <w:t xml:space="preserve"> products containing soy leghemoglobin are currently more expensive than their traditional meat counterparts. </w:t>
      </w:r>
      <w:r w:rsidR="00E66E56">
        <w:rPr>
          <w:lang w:bidi="ar-SA"/>
        </w:rPr>
        <w:t>FSANZ expects this price variation to be similar in Australi</w:t>
      </w:r>
      <w:r w:rsidR="00E1362C">
        <w:rPr>
          <w:lang w:bidi="ar-SA"/>
        </w:rPr>
        <w:t>a and New Zealand if Impossible</w:t>
      </w:r>
      <w:r w:rsidR="00E66E56">
        <w:rPr>
          <w:lang w:bidi="ar-SA"/>
        </w:rPr>
        <w:t xml:space="preserve"> products are permitted for sale here. </w:t>
      </w:r>
      <w:r w:rsidR="00397733">
        <w:rPr>
          <w:lang w:bidi="ar-SA"/>
        </w:rPr>
        <w:t xml:space="preserve">For more discussion on consumers and meat analogue products, including consumer motivation to reduce meat intake and the likelihood of meat analogue products misleading consumers, please see </w:t>
      </w:r>
      <w:r w:rsidR="00F076CD">
        <w:rPr>
          <w:lang w:bidi="ar-SA"/>
        </w:rPr>
        <w:t xml:space="preserve">Section </w:t>
      </w:r>
      <w:r w:rsidR="00397733">
        <w:rPr>
          <w:lang w:bidi="ar-SA"/>
        </w:rPr>
        <w:t>2 of the SD2.</w:t>
      </w:r>
    </w:p>
    <w:p w14:paraId="52D4B2AA" w14:textId="0BC476A3" w:rsidR="003D1755" w:rsidRDefault="003D1755" w:rsidP="003D1755">
      <w:pPr>
        <w:pStyle w:val="Heading4"/>
      </w:pPr>
      <w:r>
        <w:rPr>
          <w:b w:val="0"/>
          <w:bCs w:val="0"/>
        </w:rPr>
        <w:t>Government</w:t>
      </w:r>
    </w:p>
    <w:p w14:paraId="44D70371" w14:textId="49FB676A" w:rsidR="003D1755" w:rsidRDefault="003D1755" w:rsidP="003D1755">
      <w:pPr>
        <w:widowControl/>
        <w:rPr>
          <w:bCs/>
          <w:lang w:bidi="ar-SA"/>
        </w:rPr>
      </w:pPr>
      <w:r>
        <w:rPr>
          <w:bCs/>
          <w:lang w:bidi="ar-SA"/>
        </w:rPr>
        <w:t xml:space="preserve">There may be </w:t>
      </w:r>
      <w:r w:rsidR="00DF05ED">
        <w:rPr>
          <w:bCs/>
          <w:lang w:bidi="ar-SA"/>
        </w:rPr>
        <w:t xml:space="preserve">incremental </w:t>
      </w:r>
      <w:r w:rsidR="001B4954">
        <w:rPr>
          <w:bCs/>
          <w:lang w:bidi="ar-SA"/>
        </w:rPr>
        <w:t xml:space="preserve">but likely inconsequential </w:t>
      </w:r>
      <w:r>
        <w:rPr>
          <w:bCs/>
          <w:lang w:bidi="ar-SA"/>
        </w:rPr>
        <w:t>cost</w:t>
      </w:r>
      <w:r w:rsidR="00DF05ED">
        <w:rPr>
          <w:bCs/>
          <w:lang w:bidi="ar-SA"/>
        </w:rPr>
        <w:t>s</w:t>
      </w:r>
      <w:r>
        <w:rPr>
          <w:bCs/>
          <w:lang w:bidi="ar-SA"/>
        </w:rPr>
        <w:t xml:space="preserve"> to government in terms of monitoring and </w:t>
      </w:r>
      <w:r w:rsidR="003120E8">
        <w:rPr>
          <w:bCs/>
          <w:lang w:bidi="ar-SA"/>
        </w:rPr>
        <w:t xml:space="preserve">enforcement </w:t>
      </w:r>
      <w:r>
        <w:rPr>
          <w:bCs/>
          <w:lang w:bidi="ar-SA"/>
        </w:rPr>
        <w:t>to ensure the final products comply with the Code</w:t>
      </w:r>
      <w:r w:rsidR="00B56538">
        <w:rPr>
          <w:bCs/>
          <w:lang w:bidi="ar-SA"/>
        </w:rPr>
        <w:t>,</w:t>
      </w:r>
      <w:r>
        <w:rPr>
          <w:bCs/>
          <w:lang w:bidi="ar-SA"/>
        </w:rPr>
        <w:t xml:space="preserve"> and </w:t>
      </w:r>
      <w:r w:rsidR="00826EC4">
        <w:rPr>
          <w:bCs/>
          <w:lang w:bidi="ar-SA"/>
        </w:rPr>
        <w:t>various</w:t>
      </w:r>
      <w:r w:rsidR="00CD739C">
        <w:rPr>
          <w:bCs/>
          <w:lang w:bidi="ar-SA"/>
        </w:rPr>
        <w:t xml:space="preserve"> </w:t>
      </w:r>
      <w:r>
        <w:rPr>
          <w:bCs/>
          <w:lang w:bidi="ar-SA"/>
        </w:rPr>
        <w:t xml:space="preserve">food </w:t>
      </w:r>
      <w:r w:rsidR="00826EC4">
        <w:rPr>
          <w:bCs/>
          <w:lang w:bidi="ar-SA"/>
        </w:rPr>
        <w:t xml:space="preserve">and consumer protection </w:t>
      </w:r>
      <w:r>
        <w:rPr>
          <w:bCs/>
          <w:lang w:bidi="ar-SA"/>
        </w:rPr>
        <w:t>laws in Australia and New Zealand.</w:t>
      </w:r>
    </w:p>
    <w:p w14:paraId="07ABDE2C" w14:textId="69DEA094" w:rsidR="003D1755" w:rsidRDefault="00E8219F" w:rsidP="00E8219F">
      <w:pPr>
        <w:pStyle w:val="Heading3"/>
      </w:pPr>
      <w:bookmarkStart w:id="157" w:name="_Toc41576674"/>
      <w:bookmarkStart w:id="158" w:name="_Toc42875236"/>
      <w:bookmarkStart w:id="159" w:name="_Toc43128140"/>
      <w:r>
        <w:t>5.1.2</w:t>
      </w:r>
      <w:r>
        <w:tab/>
      </w:r>
      <w:r w:rsidR="003D1755">
        <w:t>Conclusions from cost benefit considerations</w:t>
      </w:r>
      <w:bookmarkEnd w:id="157"/>
      <w:bookmarkEnd w:id="158"/>
      <w:bookmarkEnd w:id="159"/>
    </w:p>
    <w:p w14:paraId="6776E279" w14:textId="1F4BB32F" w:rsidR="003D1755" w:rsidRDefault="003D1755" w:rsidP="003D1755">
      <w:pPr>
        <w:widowControl/>
        <w:rPr>
          <w:lang w:bidi="ar-SA"/>
        </w:rPr>
      </w:pPr>
      <w:r>
        <w:rPr>
          <w:lang w:bidi="ar-SA"/>
        </w:rPr>
        <w:t xml:space="preserve">FSANZ considers that the direct and indirect benefits that may arise from permitting </w:t>
      </w:r>
      <w:r>
        <w:t xml:space="preserve">the </w:t>
      </w:r>
      <w:r w:rsidR="004C1F3E">
        <w:t>applicant</w:t>
      </w:r>
      <w:r w:rsidR="004C1F3E">
        <w:rPr>
          <w:bCs/>
          <w:lang w:bidi="ar-SA"/>
        </w:rPr>
        <w:t xml:space="preserve">’s </w:t>
      </w:r>
      <w:r>
        <w:rPr>
          <w:bCs/>
          <w:lang w:bidi="ar-SA"/>
        </w:rPr>
        <w:t>soy leghemoglobin in meat analogue products</w:t>
      </w:r>
      <w:r w:rsidR="004C1F3E">
        <w:rPr>
          <w:bCs/>
          <w:lang w:bidi="ar-SA"/>
        </w:rPr>
        <w:t>, as proposed,</w:t>
      </w:r>
      <w:r>
        <w:rPr>
          <w:bCs/>
          <w:lang w:bidi="ar-SA"/>
        </w:rPr>
        <w:t xml:space="preserve"> </w:t>
      </w:r>
      <w:r>
        <w:rPr>
          <w:lang w:bidi="ar-SA"/>
        </w:rPr>
        <w:t>likely outweigh</w:t>
      </w:r>
      <w:r w:rsidDel="006E11D3">
        <w:rPr>
          <w:lang w:bidi="ar-SA"/>
        </w:rPr>
        <w:t xml:space="preserve"> </w:t>
      </w:r>
      <w:r>
        <w:rPr>
          <w:lang w:bidi="ar-SA"/>
        </w:rPr>
        <w:t>the associated costs.</w:t>
      </w:r>
    </w:p>
    <w:p w14:paraId="56DB2767" w14:textId="77777777" w:rsidR="003D1755" w:rsidRDefault="003D1755" w:rsidP="003D1755">
      <w:pPr>
        <w:widowControl/>
      </w:pPr>
    </w:p>
    <w:p w14:paraId="30838664" w14:textId="2CA68119" w:rsidR="003D1755" w:rsidRDefault="00646704" w:rsidP="003D1755">
      <w:pPr>
        <w:widowControl/>
      </w:pPr>
      <w:r>
        <w:t xml:space="preserve">FSANZ acknowledges the information received in response to the </w:t>
      </w:r>
      <w:r w:rsidR="00AD33FC">
        <w:t>1st CFS</w:t>
      </w:r>
      <w:r>
        <w:t xml:space="preserve"> for this application. </w:t>
      </w:r>
      <w:r w:rsidR="003D1755">
        <w:t>Additional information received in response to this</w:t>
      </w:r>
      <w:r>
        <w:t xml:space="preserve"> </w:t>
      </w:r>
      <w:r w:rsidR="00AD33FC">
        <w:t>2nd CFS</w:t>
      </w:r>
      <w:r w:rsidR="003D1755" w:rsidDel="00646704">
        <w:t xml:space="preserve"> </w:t>
      </w:r>
      <w:r w:rsidR="003D1755">
        <w:t xml:space="preserve">may enable FSANZ to undertake a more quantitative-based assessment of the associated wider costs and benefits </w:t>
      </w:r>
      <w:r w:rsidR="003D1755">
        <w:rPr>
          <w:lang w:bidi="ar-SA"/>
        </w:rPr>
        <w:t>in permitting soy leghemoglobin in meat analogue products</w:t>
      </w:r>
      <w:r w:rsidR="003D1755">
        <w:t xml:space="preserve">. This will depend on the </w:t>
      </w:r>
      <w:r w:rsidR="00187C2A">
        <w:t xml:space="preserve">nature </w:t>
      </w:r>
      <w:r w:rsidR="003D1755">
        <w:t xml:space="preserve">of data or information received in submissions and may result in FSANZ arriving at a different conclusion. </w:t>
      </w:r>
    </w:p>
    <w:p w14:paraId="40C77A5A" w14:textId="55CCB46D" w:rsidR="003D1755" w:rsidRDefault="00996A59" w:rsidP="00996A59">
      <w:pPr>
        <w:pStyle w:val="Heading3"/>
      </w:pPr>
      <w:bookmarkStart w:id="160" w:name="_Toc26980516"/>
      <w:bookmarkStart w:id="161" w:name="_Toc41576675"/>
      <w:bookmarkStart w:id="162" w:name="_Toc42875237"/>
      <w:bookmarkStart w:id="163" w:name="_Toc43128141"/>
      <w:r>
        <w:t>5.</w:t>
      </w:r>
      <w:r w:rsidR="003D1755">
        <w:t>1.</w:t>
      </w:r>
      <w:r>
        <w:t>3</w:t>
      </w:r>
      <w:r w:rsidR="003D1755">
        <w:tab/>
        <w:t>Other measures</w:t>
      </w:r>
      <w:bookmarkEnd w:id="160"/>
      <w:bookmarkEnd w:id="161"/>
      <w:bookmarkEnd w:id="162"/>
      <w:bookmarkEnd w:id="163"/>
    </w:p>
    <w:p w14:paraId="7F09FDE7" w14:textId="365E6994" w:rsidR="00726C2F" w:rsidRPr="00996A59" w:rsidRDefault="003D1755" w:rsidP="00996A59">
      <w:pPr>
        <w:widowControl/>
      </w:pPr>
      <w:r>
        <w:t xml:space="preserve">FSANZ is not aware of any measures which would be more cost-effective than a food regulatory measure developed or varied as a result of the Application. </w:t>
      </w:r>
    </w:p>
    <w:p w14:paraId="3D5E8E2A" w14:textId="2D27809E" w:rsidR="00726C2F" w:rsidRDefault="00996A59" w:rsidP="00996A59">
      <w:pPr>
        <w:pStyle w:val="Heading3"/>
      </w:pPr>
      <w:bookmarkStart w:id="164" w:name="_Toc41576676"/>
      <w:bookmarkStart w:id="165" w:name="_Toc42875238"/>
      <w:bookmarkStart w:id="166" w:name="_Toc43128142"/>
      <w:r>
        <w:t>5.1.4</w:t>
      </w:r>
      <w:r w:rsidR="008B0075">
        <w:tab/>
        <w:t>A</w:t>
      </w:r>
      <w:r w:rsidR="00726C2F" w:rsidRPr="00914030">
        <w:t>ny relevant New Zealand standards</w:t>
      </w:r>
      <w:bookmarkEnd w:id="164"/>
      <w:bookmarkEnd w:id="165"/>
      <w:bookmarkEnd w:id="166"/>
    </w:p>
    <w:p w14:paraId="6F80B5D9" w14:textId="2E8232A5" w:rsidR="008B0075" w:rsidRDefault="008B0075" w:rsidP="008B0075">
      <w:pPr>
        <w:rPr>
          <w:lang w:bidi="ar-SA"/>
        </w:rPr>
      </w:pPr>
      <w:r>
        <w:rPr>
          <w:lang w:bidi="ar-SA"/>
        </w:rPr>
        <w:t>There are no relevant New Zealand Standards.</w:t>
      </w:r>
    </w:p>
    <w:p w14:paraId="10997CE6" w14:textId="295FBF60" w:rsidR="008B5567" w:rsidRDefault="00BE3818" w:rsidP="00E951F0">
      <w:pPr>
        <w:pStyle w:val="Heading3"/>
      </w:pPr>
      <w:bookmarkStart w:id="167" w:name="_Toc41576677"/>
      <w:bookmarkStart w:id="168" w:name="_Toc42875239"/>
      <w:bookmarkStart w:id="169" w:name="_Toc43128143"/>
      <w:r>
        <w:t>5.1.</w:t>
      </w:r>
      <w:r w:rsidR="00996A59">
        <w:t>5</w:t>
      </w:r>
      <w:r>
        <w:tab/>
      </w:r>
      <w:r w:rsidR="0027513D">
        <w:t>A</w:t>
      </w:r>
      <w:r>
        <w:t>ny other relevant matters</w:t>
      </w:r>
      <w:bookmarkEnd w:id="167"/>
      <w:bookmarkEnd w:id="168"/>
      <w:bookmarkEnd w:id="169"/>
    </w:p>
    <w:p w14:paraId="6B593947" w14:textId="77777777" w:rsidR="00BE3818" w:rsidRDefault="008B5567" w:rsidP="00BE3818">
      <w:pPr>
        <w:rPr>
          <w:lang w:bidi="ar-SA"/>
        </w:rPr>
      </w:pPr>
      <w:r>
        <w:t>Other relevant matters are considered below</w:t>
      </w:r>
      <w:r w:rsidR="00BE3818">
        <w:rPr>
          <w:lang w:bidi="ar-SA"/>
        </w:rPr>
        <w:t>.</w:t>
      </w:r>
      <w:r>
        <w:t xml:space="preserve"> </w:t>
      </w:r>
    </w:p>
    <w:p w14:paraId="58F73BB2" w14:textId="4FA971E9" w:rsidR="00022DBC" w:rsidRPr="00914030" w:rsidRDefault="00BE3818" w:rsidP="00996A59">
      <w:pPr>
        <w:pStyle w:val="Heading2"/>
      </w:pPr>
      <w:bookmarkStart w:id="170" w:name="_Toc41576678"/>
      <w:bookmarkStart w:id="171" w:name="_Toc42875240"/>
      <w:bookmarkStart w:id="172" w:name="_Toc43128144"/>
      <w:bookmarkStart w:id="173" w:name="_Toc300761897"/>
      <w:bookmarkStart w:id="174" w:name="_Toc300933440"/>
      <w:r>
        <w:t>5.2</w:t>
      </w:r>
      <w:r w:rsidR="00022DBC" w:rsidRPr="00914030">
        <w:tab/>
      </w:r>
      <w:r>
        <w:t>Subsection 18(1)</w:t>
      </w:r>
      <w:bookmarkEnd w:id="170"/>
      <w:bookmarkEnd w:id="171"/>
      <w:bookmarkEnd w:id="172"/>
      <w:r>
        <w:t xml:space="preserve"> </w:t>
      </w:r>
      <w:bookmarkEnd w:id="173"/>
      <w:bookmarkEnd w:id="174"/>
    </w:p>
    <w:p w14:paraId="1FBA12E1"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4072F4D7" w14:textId="05C613BA" w:rsidR="00022DBC" w:rsidRPr="00914030" w:rsidRDefault="00BE3818" w:rsidP="00996A59">
      <w:pPr>
        <w:pStyle w:val="Heading3"/>
      </w:pPr>
      <w:bookmarkStart w:id="175" w:name="_Toc297029117"/>
      <w:bookmarkStart w:id="176" w:name="_Toc300761898"/>
      <w:bookmarkStart w:id="177" w:name="_Toc300933441"/>
      <w:bookmarkStart w:id="178" w:name="_Toc41576679"/>
      <w:bookmarkStart w:id="179" w:name="_Toc42875241"/>
      <w:bookmarkStart w:id="180" w:name="_Toc43128145"/>
      <w:r>
        <w:t>5.2</w:t>
      </w:r>
      <w:r w:rsidR="00022DBC" w:rsidRPr="00914030">
        <w:t>.1</w:t>
      </w:r>
      <w:r w:rsidR="00022DBC" w:rsidRPr="00914030">
        <w:tab/>
        <w:t>Protection of public health and safety</w:t>
      </w:r>
      <w:bookmarkEnd w:id="175"/>
      <w:bookmarkEnd w:id="176"/>
      <w:bookmarkEnd w:id="177"/>
      <w:bookmarkEnd w:id="178"/>
      <w:bookmarkEnd w:id="179"/>
      <w:bookmarkEnd w:id="180"/>
    </w:p>
    <w:p w14:paraId="1C7B6816" w14:textId="4D529051" w:rsidR="00996A59" w:rsidRPr="001A6DFD" w:rsidRDefault="00996A59" w:rsidP="00996A59">
      <w:pPr>
        <w:widowControl/>
      </w:pPr>
      <w:bookmarkStart w:id="181" w:name="_Toc300761899"/>
      <w:bookmarkStart w:id="182" w:name="_Toc300933442"/>
      <w:r w:rsidRPr="001A6DFD">
        <w:t>F</w:t>
      </w:r>
      <w:r>
        <w:t xml:space="preserve">SANZ has completed a risk and technical </w:t>
      </w:r>
      <w:r w:rsidRPr="001A6DFD">
        <w:t>assessment (</w:t>
      </w:r>
      <w:r w:rsidR="0083347A">
        <w:t xml:space="preserve">see </w:t>
      </w:r>
      <w:r w:rsidRPr="001A6DFD">
        <w:t xml:space="preserve">SD1) which is summarised in </w:t>
      </w:r>
      <w:r w:rsidR="00F076CD" w:rsidRPr="001A6DFD">
        <w:t xml:space="preserve">Section </w:t>
      </w:r>
      <w:r>
        <w:t>2</w:t>
      </w:r>
      <w:r w:rsidR="00FF5365">
        <w:t xml:space="preserve"> of this report</w:t>
      </w:r>
      <w:r w:rsidRPr="001A6DFD">
        <w:t xml:space="preserve">. The assessment concluded that there are no public health and safety concerns associated with </w:t>
      </w:r>
      <w:r>
        <w:t xml:space="preserve">permitting </w:t>
      </w:r>
      <w:r w:rsidR="00FF5365">
        <w:t xml:space="preserve">the use of </w:t>
      </w:r>
      <w:r>
        <w:t xml:space="preserve">soy leghemoglobin </w:t>
      </w:r>
      <w:r w:rsidR="00E951F0">
        <w:t xml:space="preserve">in the form of </w:t>
      </w:r>
      <w:r>
        <w:t>LegH Prep in meat analogue products</w:t>
      </w:r>
      <w:r w:rsidR="00FF5365">
        <w:t xml:space="preserve"> as proposed</w:t>
      </w:r>
      <w:r w:rsidRPr="006D7863">
        <w:t xml:space="preserve">. </w:t>
      </w:r>
    </w:p>
    <w:p w14:paraId="2EC99E9B" w14:textId="0311B575" w:rsidR="00022DBC" w:rsidRPr="00914030" w:rsidRDefault="00BE3818" w:rsidP="00996A59">
      <w:pPr>
        <w:pStyle w:val="Heading3"/>
      </w:pPr>
      <w:bookmarkStart w:id="183" w:name="_Toc41576680"/>
      <w:bookmarkStart w:id="184" w:name="_Toc42875242"/>
      <w:bookmarkStart w:id="185" w:name="_Toc43128146"/>
      <w:r>
        <w:t>5.2</w:t>
      </w:r>
      <w:r w:rsidR="00022DBC">
        <w:t>.</w:t>
      </w:r>
      <w:r w:rsidR="00022DBC" w:rsidRPr="00914030">
        <w:t>2</w:t>
      </w:r>
      <w:r w:rsidR="00022DBC" w:rsidRPr="00914030">
        <w:tab/>
        <w:t>The provision of adequate information relating to food to enable consumers to make informed choices</w:t>
      </w:r>
      <w:bookmarkEnd w:id="181"/>
      <w:bookmarkEnd w:id="182"/>
      <w:bookmarkEnd w:id="183"/>
      <w:bookmarkEnd w:id="184"/>
      <w:bookmarkEnd w:id="185"/>
    </w:p>
    <w:p w14:paraId="1F510261" w14:textId="2FFB108E" w:rsidR="00996A59" w:rsidRPr="00E073E5" w:rsidRDefault="00996A59" w:rsidP="00996A59">
      <w:pPr>
        <w:widowControl/>
      </w:pPr>
      <w:bookmarkStart w:id="186" w:name="_Toc300761900"/>
      <w:bookmarkStart w:id="187" w:name="_Toc300933443"/>
      <w:r>
        <w:t xml:space="preserve">Existing </w:t>
      </w:r>
      <w:r w:rsidRPr="00E073E5">
        <w:t xml:space="preserve">labelling requirements would apply to </w:t>
      </w:r>
      <w:r w:rsidRPr="004A7167">
        <w:t xml:space="preserve">soy leghemoglobin </w:t>
      </w:r>
      <w:r w:rsidRPr="00E073E5">
        <w:t xml:space="preserve">when added as an ingredient to meat analogue products, as discussed in </w:t>
      </w:r>
      <w:r w:rsidR="00F076CD">
        <w:t>S</w:t>
      </w:r>
      <w:r w:rsidR="00F076CD" w:rsidRPr="00C67B3E">
        <w:t xml:space="preserve">ection </w:t>
      </w:r>
      <w:r w:rsidRPr="00C67B3E">
        <w:t>3.</w:t>
      </w:r>
      <w:r w:rsidR="00C67B3E" w:rsidRPr="00C67B3E">
        <w:t>2</w:t>
      </w:r>
      <w:r w:rsidR="003B5BC5">
        <w:t xml:space="preserve"> of this report</w:t>
      </w:r>
      <w:r w:rsidRPr="00C67B3E">
        <w:t>,</w:t>
      </w:r>
      <w:r>
        <w:t xml:space="preserve"> which would provide </w:t>
      </w:r>
      <w:r w:rsidRPr="00E073E5">
        <w:t>information to enable consumers make informed choice.</w:t>
      </w:r>
    </w:p>
    <w:p w14:paraId="48136CC1" w14:textId="6844D777" w:rsidR="00022DBC" w:rsidRPr="00914030" w:rsidRDefault="00BE3818" w:rsidP="00996A59">
      <w:pPr>
        <w:pStyle w:val="Heading3"/>
      </w:pPr>
      <w:bookmarkStart w:id="188" w:name="_Toc41576681"/>
      <w:bookmarkStart w:id="189" w:name="_Toc42875243"/>
      <w:bookmarkStart w:id="190" w:name="_Toc43126896"/>
      <w:bookmarkStart w:id="191" w:name="_Toc43128147"/>
      <w:r>
        <w:lastRenderedPageBreak/>
        <w:t>5.2</w:t>
      </w:r>
      <w:r w:rsidR="00022DBC">
        <w:t>.</w:t>
      </w:r>
      <w:r w:rsidR="00022DBC" w:rsidRPr="00914030">
        <w:t>3</w:t>
      </w:r>
      <w:r w:rsidR="00022DBC" w:rsidRPr="00914030">
        <w:tab/>
        <w:t>The prevention of misleading or deceptive conduct</w:t>
      </w:r>
      <w:bookmarkEnd w:id="186"/>
      <w:bookmarkEnd w:id="187"/>
      <w:bookmarkEnd w:id="188"/>
      <w:bookmarkEnd w:id="189"/>
      <w:bookmarkEnd w:id="190"/>
      <w:bookmarkEnd w:id="191"/>
    </w:p>
    <w:p w14:paraId="7BFCF74E" w14:textId="60A7DEDF" w:rsidR="00996A59" w:rsidRDefault="00283F97" w:rsidP="00996A59">
      <w:pPr>
        <w:widowControl/>
        <w:rPr>
          <w:rFonts w:cs="Arial"/>
          <w:szCs w:val="22"/>
        </w:rPr>
      </w:pPr>
      <w:bookmarkStart w:id="192" w:name="_Toc300761901"/>
      <w:bookmarkStart w:id="193" w:name="_Toc300933444"/>
      <w:r>
        <w:rPr>
          <w:rFonts w:cs="Arial"/>
          <w:szCs w:val="22"/>
        </w:rPr>
        <w:t xml:space="preserve">FSANZ considers the existing </w:t>
      </w:r>
      <w:r w:rsidR="00996A59" w:rsidRPr="00DA5399">
        <w:rPr>
          <w:rFonts w:cs="Arial"/>
          <w:szCs w:val="22"/>
        </w:rPr>
        <w:t>labelling requirements</w:t>
      </w:r>
      <w:r w:rsidR="00996A59">
        <w:rPr>
          <w:rFonts w:cs="Arial"/>
          <w:szCs w:val="22"/>
        </w:rPr>
        <w:t xml:space="preserve"> </w:t>
      </w:r>
      <w:r>
        <w:rPr>
          <w:rFonts w:cs="Arial"/>
          <w:szCs w:val="22"/>
        </w:rPr>
        <w:t xml:space="preserve">described </w:t>
      </w:r>
      <w:r w:rsidR="00996A59">
        <w:rPr>
          <w:rFonts w:cs="Arial"/>
          <w:szCs w:val="22"/>
        </w:rPr>
        <w:t xml:space="preserve">in </w:t>
      </w:r>
      <w:r w:rsidR="00F076CD">
        <w:rPr>
          <w:rFonts w:cs="Arial"/>
          <w:szCs w:val="22"/>
        </w:rPr>
        <w:t>S</w:t>
      </w:r>
      <w:r w:rsidR="00F076CD" w:rsidRPr="00C67B3E">
        <w:rPr>
          <w:rFonts w:cs="Arial"/>
          <w:szCs w:val="22"/>
        </w:rPr>
        <w:t xml:space="preserve">ection </w:t>
      </w:r>
      <w:r w:rsidR="00996A59" w:rsidRPr="00C67B3E">
        <w:rPr>
          <w:rFonts w:cs="Arial"/>
          <w:szCs w:val="22"/>
        </w:rPr>
        <w:t>3.</w:t>
      </w:r>
      <w:r w:rsidR="00C67B3E">
        <w:rPr>
          <w:rFonts w:cs="Arial"/>
          <w:szCs w:val="22"/>
        </w:rPr>
        <w:t>2</w:t>
      </w:r>
      <w:r w:rsidR="00E951F0">
        <w:rPr>
          <w:rFonts w:cs="Arial"/>
          <w:szCs w:val="22"/>
        </w:rPr>
        <w:t xml:space="preserve"> </w:t>
      </w:r>
      <w:r w:rsidR="003B5BC5">
        <w:rPr>
          <w:rFonts w:cs="Arial"/>
          <w:szCs w:val="22"/>
        </w:rPr>
        <w:t xml:space="preserve">of this report </w:t>
      </w:r>
      <w:r>
        <w:rPr>
          <w:rFonts w:cs="Arial"/>
          <w:szCs w:val="22"/>
        </w:rPr>
        <w:t xml:space="preserve">are appropriate </w:t>
      </w:r>
      <w:r w:rsidR="00996A59" w:rsidRPr="00DA5399">
        <w:rPr>
          <w:rFonts w:cs="Arial"/>
          <w:szCs w:val="22"/>
        </w:rPr>
        <w:t>w</w:t>
      </w:r>
      <w:r w:rsidR="00996A59">
        <w:rPr>
          <w:rFonts w:cs="Arial"/>
          <w:szCs w:val="22"/>
        </w:rPr>
        <w:t>ould address this objective.</w:t>
      </w:r>
      <w:r w:rsidR="00996A59" w:rsidRPr="00DA5399">
        <w:rPr>
          <w:rFonts w:cs="Arial"/>
          <w:szCs w:val="22"/>
        </w:rPr>
        <w:t xml:space="preserve"> </w:t>
      </w:r>
    </w:p>
    <w:p w14:paraId="231E0527" w14:textId="7EEC0EC8" w:rsidR="001734D6" w:rsidRDefault="001734D6" w:rsidP="00996A59">
      <w:pPr>
        <w:widowControl/>
        <w:rPr>
          <w:rFonts w:cs="Arial"/>
          <w:szCs w:val="22"/>
        </w:rPr>
      </w:pPr>
    </w:p>
    <w:p w14:paraId="40FFFB01" w14:textId="77777777" w:rsidR="001734D6" w:rsidRPr="00523BA7" w:rsidRDefault="001734D6" w:rsidP="00996A59">
      <w:pPr>
        <w:widowControl/>
        <w:rPr>
          <w:rFonts w:cs="Arial"/>
          <w:szCs w:val="22"/>
        </w:rPr>
      </w:pPr>
    </w:p>
    <w:p w14:paraId="3074E9D8" w14:textId="287F6224" w:rsidR="00022DBC" w:rsidRPr="00914030" w:rsidRDefault="00B51E03" w:rsidP="00996A59">
      <w:pPr>
        <w:pStyle w:val="Heading2"/>
      </w:pPr>
      <w:bookmarkStart w:id="194" w:name="_Toc41576682"/>
      <w:bookmarkStart w:id="195" w:name="_Toc42875244"/>
      <w:bookmarkStart w:id="196" w:name="_Toc43126897"/>
      <w:bookmarkStart w:id="197" w:name="_Toc43128148"/>
      <w:r>
        <w:t>5.3</w:t>
      </w:r>
      <w:r w:rsidR="00022DBC" w:rsidRPr="00914030">
        <w:tab/>
        <w:t xml:space="preserve">Subsection 18(2) </w:t>
      </w:r>
      <w:bookmarkEnd w:id="192"/>
      <w:bookmarkEnd w:id="193"/>
      <w:r w:rsidR="00022DBC" w:rsidRPr="00914030">
        <w:t>considerations</w:t>
      </w:r>
      <w:bookmarkEnd w:id="194"/>
      <w:bookmarkEnd w:id="195"/>
      <w:bookmarkEnd w:id="196"/>
      <w:bookmarkEnd w:id="197"/>
    </w:p>
    <w:p w14:paraId="103BE34E" w14:textId="77777777" w:rsidR="00022DBC" w:rsidRPr="00914030" w:rsidRDefault="00022DBC" w:rsidP="00022DBC">
      <w:pPr>
        <w:rPr>
          <w:rFonts w:cs="Arial"/>
        </w:rPr>
      </w:pPr>
      <w:r w:rsidRPr="00914030">
        <w:rPr>
          <w:rFonts w:cs="Arial"/>
        </w:rPr>
        <w:t>FSANZ has also had regard to:</w:t>
      </w:r>
    </w:p>
    <w:p w14:paraId="648BE706" w14:textId="77777777" w:rsidR="00022DBC" w:rsidRPr="00914030" w:rsidRDefault="00022DBC" w:rsidP="00022DBC">
      <w:pPr>
        <w:rPr>
          <w:rFonts w:cs="Arial"/>
        </w:rPr>
      </w:pPr>
    </w:p>
    <w:p w14:paraId="662ABA27"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1034565E" w14:textId="77777777" w:rsidR="008828D9" w:rsidRDefault="008828D9" w:rsidP="008828D9">
      <w:pPr>
        <w:rPr>
          <w:lang w:bidi="ar-SA"/>
        </w:rPr>
      </w:pPr>
    </w:p>
    <w:p w14:paraId="52545A90" w14:textId="4460FDCB" w:rsidR="00996A59" w:rsidRPr="001A6DFD" w:rsidRDefault="00996A59" w:rsidP="00996A59">
      <w:pPr>
        <w:widowControl/>
      </w:pPr>
      <w:r w:rsidRPr="00087609">
        <w:t xml:space="preserve">FSANZ has used the best available scientific evidence to </w:t>
      </w:r>
      <w:r w:rsidR="0025053F">
        <w:t xml:space="preserve">complete an independent </w:t>
      </w:r>
      <w:r w:rsidRPr="00087609">
        <w:t>assess</w:t>
      </w:r>
      <w:r w:rsidR="0025053F">
        <w:t>ment of the</w:t>
      </w:r>
      <w:r w:rsidRPr="00087609">
        <w:t xml:space="preserve"> application. The </w:t>
      </w:r>
      <w:r>
        <w:t>applicant</w:t>
      </w:r>
      <w:r w:rsidRPr="00087609">
        <w:t xml:space="preserve"> submitted a dossier of scientific studies as part of its application</w:t>
      </w:r>
      <w:r w:rsidR="0025053F">
        <w:t>, and provided additional data or information as requested</w:t>
      </w:r>
      <w:r w:rsidRPr="00087609">
        <w:t>. Other re</w:t>
      </w:r>
      <w:r>
        <w:t>levant</w:t>
      </w:r>
      <w:r w:rsidRPr="00087609">
        <w:t xml:space="preserve"> information</w:t>
      </w:r>
      <w:r>
        <w:t xml:space="preserve"> </w:t>
      </w:r>
      <w:r w:rsidRPr="00087609">
        <w:t>including scientific literature</w:t>
      </w:r>
      <w:r>
        <w:t>,</w:t>
      </w:r>
      <w:r w:rsidRPr="00087609">
        <w:t xml:space="preserve"> was also </w:t>
      </w:r>
      <w:r w:rsidR="0025053F">
        <w:t>identified and reviewed</w:t>
      </w:r>
      <w:r w:rsidR="0025053F" w:rsidRPr="00087609">
        <w:t xml:space="preserve"> </w:t>
      </w:r>
      <w:r w:rsidR="0025053F">
        <w:t>as part of</w:t>
      </w:r>
      <w:r w:rsidR="00B454CC">
        <w:t xml:space="preserve"> </w:t>
      </w:r>
      <w:r w:rsidR="0025053F">
        <w:t xml:space="preserve">the </w:t>
      </w:r>
      <w:r w:rsidRPr="00087609">
        <w:t>assess</w:t>
      </w:r>
      <w:r w:rsidR="0025053F">
        <w:t>ment</w:t>
      </w:r>
      <w:r w:rsidRPr="00087609">
        <w:t>.</w:t>
      </w:r>
    </w:p>
    <w:p w14:paraId="75F4C3A7" w14:textId="77777777" w:rsidR="008828D9" w:rsidRPr="008828D9" w:rsidRDefault="008828D9" w:rsidP="008828D9">
      <w:pPr>
        <w:rPr>
          <w:lang w:bidi="ar-SA"/>
        </w:rPr>
      </w:pPr>
    </w:p>
    <w:p w14:paraId="4A02E151" w14:textId="77777777" w:rsidR="00022DBC" w:rsidRPr="008828D9" w:rsidRDefault="00022DBC" w:rsidP="00022DBC">
      <w:pPr>
        <w:pStyle w:val="FSBullet1"/>
        <w:rPr>
          <w:b/>
        </w:rPr>
      </w:pPr>
      <w:r w:rsidRPr="008828D9">
        <w:rPr>
          <w:b/>
        </w:rPr>
        <w:t>the promotion of consistency between domestic and international food standards</w:t>
      </w:r>
    </w:p>
    <w:p w14:paraId="6B8ABFCF" w14:textId="77777777" w:rsidR="008828D9" w:rsidRDefault="008828D9" w:rsidP="008828D9">
      <w:pPr>
        <w:rPr>
          <w:lang w:bidi="ar-SA"/>
        </w:rPr>
      </w:pPr>
    </w:p>
    <w:p w14:paraId="0BE1208A" w14:textId="46F18A35" w:rsidR="00996A59" w:rsidRDefault="00996A59" w:rsidP="00996A59">
      <w:pPr>
        <w:widowControl/>
        <w:ind w:right="-286"/>
      </w:pPr>
      <w:r>
        <w:t>Soy leghemoglobin is permitted</w:t>
      </w:r>
      <w:r w:rsidR="00E1362C">
        <w:t xml:space="preserve"> for use in Impossible</w:t>
      </w:r>
      <w:r w:rsidR="00A17B1E">
        <w:t xml:space="preserve"> </w:t>
      </w:r>
      <w:r>
        <w:t xml:space="preserve">meat analogue products in some countries overseas, including in the US, </w:t>
      </w:r>
      <w:r w:rsidR="00A17B1E">
        <w:t xml:space="preserve">Canada, </w:t>
      </w:r>
      <w:r>
        <w:t>Singapore, Hong Kong and Macao. An application is currently being considered by EFSA for permission</w:t>
      </w:r>
      <w:r w:rsidR="000A376F">
        <w:t xml:space="preserve"> </w:t>
      </w:r>
      <w:r>
        <w:t xml:space="preserve">in the European Union. Permitting </w:t>
      </w:r>
      <w:r w:rsidR="000A376F">
        <w:t xml:space="preserve">the use of </w:t>
      </w:r>
      <w:r>
        <w:t xml:space="preserve">soy leghemoglobin </w:t>
      </w:r>
      <w:r w:rsidR="000A376F">
        <w:t>as proposed</w:t>
      </w:r>
      <w:r>
        <w:t>, would</w:t>
      </w:r>
      <w:r w:rsidRPr="00B21422">
        <w:t xml:space="preserve"> promote </w:t>
      </w:r>
      <w:r>
        <w:t xml:space="preserve">greater </w:t>
      </w:r>
      <w:r w:rsidR="000A376F">
        <w:t>consistency</w:t>
      </w:r>
      <w:r w:rsidR="000A376F" w:rsidRPr="00B21422">
        <w:t xml:space="preserve"> </w:t>
      </w:r>
      <w:r w:rsidRPr="00B21422">
        <w:t xml:space="preserve">between domestic and </w:t>
      </w:r>
      <w:r w:rsidR="00847006">
        <w:t>international</w:t>
      </w:r>
      <w:r w:rsidRPr="00B21422">
        <w:t xml:space="preserve"> food standards</w:t>
      </w:r>
      <w:r w:rsidR="00A17B1E">
        <w:t xml:space="preserve"> for meat analogue products.</w:t>
      </w:r>
    </w:p>
    <w:p w14:paraId="5E5B9C2C" w14:textId="77777777" w:rsidR="008828D9" w:rsidRPr="008828D9" w:rsidRDefault="008828D9" w:rsidP="008828D9">
      <w:pPr>
        <w:rPr>
          <w:lang w:bidi="ar-SA"/>
        </w:rPr>
      </w:pPr>
    </w:p>
    <w:p w14:paraId="7B832DEE" w14:textId="77777777" w:rsidR="00022DBC" w:rsidRPr="008828D9" w:rsidRDefault="00022DBC" w:rsidP="00022DBC">
      <w:pPr>
        <w:pStyle w:val="FSBullet1"/>
        <w:rPr>
          <w:b/>
        </w:rPr>
      </w:pPr>
      <w:r w:rsidRPr="008828D9">
        <w:rPr>
          <w:b/>
        </w:rPr>
        <w:t>the desirability of an efficient and internationally competitive food industry</w:t>
      </w:r>
    </w:p>
    <w:p w14:paraId="7285FD84" w14:textId="77777777" w:rsidR="008828D9" w:rsidRDefault="008828D9" w:rsidP="008828D9">
      <w:pPr>
        <w:rPr>
          <w:lang w:bidi="ar-SA"/>
        </w:rPr>
      </w:pPr>
    </w:p>
    <w:p w14:paraId="72266CF1" w14:textId="44980B95" w:rsidR="00996A59" w:rsidRPr="00B21422" w:rsidRDefault="00996A59" w:rsidP="00996A59">
      <w:pPr>
        <w:widowControl/>
        <w:ind w:right="-286"/>
      </w:pPr>
      <w:r>
        <w:t xml:space="preserve">Permitting </w:t>
      </w:r>
      <w:r w:rsidR="000A376F">
        <w:t xml:space="preserve">the use of </w:t>
      </w:r>
      <w:r>
        <w:t xml:space="preserve">soy leghemoglobin </w:t>
      </w:r>
      <w:r w:rsidR="000A376F">
        <w:t>as proposed</w:t>
      </w:r>
      <w:r>
        <w:t xml:space="preserve"> would </w:t>
      </w:r>
      <w:r w:rsidR="00E303DD">
        <w:t xml:space="preserve">promote </w:t>
      </w:r>
      <w:r>
        <w:t>a competitive food industry</w:t>
      </w:r>
      <w:r w:rsidR="00E303DD">
        <w:t>, as fast developing new technologies in the production of alternative protein sources take off around the world</w:t>
      </w:r>
      <w:r>
        <w:t>.</w:t>
      </w:r>
      <w:r w:rsidR="00E303DD">
        <w:t xml:space="preserve"> Products such as soy leghemoglobin could promote competitive research and development innovation in alternative protein technologies within the Australian and New Zealand food industry.</w:t>
      </w:r>
    </w:p>
    <w:p w14:paraId="6D0CE442" w14:textId="4B9D9847" w:rsidR="008828D9" w:rsidRPr="008828D9" w:rsidRDefault="008828D9" w:rsidP="00996A59">
      <w:pPr>
        <w:widowControl/>
        <w:rPr>
          <w:lang w:bidi="ar-SA"/>
        </w:rPr>
      </w:pPr>
    </w:p>
    <w:p w14:paraId="229DB70F" w14:textId="77777777" w:rsidR="00022DBC" w:rsidRPr="008828D9" w:rsidRDefault="00022DBC" w:rsidP="00022DBC">
      <w:pPr>
        <w:pStyle w:val="FSBullet1"/>
        <w:rPr>
          <w:b/>
        </w:rPr>
      </w:pPr>
      <w:r w:rsidRPr="008828D9">
        <w:rPr>
          <w:b/>
        </w:rPr>
        <w:t>the promotion of fair trading in food</w:t>
      </w:r>
    </w:p>
    <w:p w14:paraId="17847053" w14:textId="77777777" w:rsidR="008828D9" w:rsidRDefault="008828D9" w:rsidP="008828D9">
      <w:pPr>
        <w:rPr>
          <w:lang w:bidi="ar-SA"/>
        </w:rPr>
      </w:pPr>
    </w:p>
    <w:p w14:paraId="0880A5E9" w14:textId="27CBF8FE" w:rsidR="00996A59" w:rsidRDefault="00996A59" w:rsidP="00996A59">
      <w:pPr>
        <w:widowControl/>
      </w:pPr>
      <w:r w:rsidRPr="00CA6CF4">
        <w:t>No negative impact is anticipated on fair trading</w:t>
      </w:r>
      <w:r w:rsidR="00CE2AF4">
        <w:t>.</w:t>
      </w:r>
    </w:p>
    <w:p w14:paraId="7F971174" w14:textId="77777777" w:rsidR="008828D9" w:rsidRPr="008828D9" w:rsidRDefault="008828D9" w:rsidP="008828D9">
      <w:pPr>
        <w:rPr>
          <w:lang w:bidi="ar-SA"/>
        </w:rPr>
      </w:pPr>
    </w:p>
    <w:p w14:paraId="61858FB7"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BE753FE" w14:textId="77777777" w:rsidR="00022DBC" w:rsidRDefault="00022DBC" w:rsidP="00022DBC">
      <w:pPr>
        <w:rPr>
          <w:lang w:bidi="ar-SA"/>
        </w:rPr>
      </w:pPr>
    </w:p>
    <w:p w14:paraId="371ACE73" w14:textId="4F54E3E1" w:rsidR="000B4D20" w:rsidRDefault="000B4D20" w:rsidP="000B4D20">
      <w:pPr>
        <w:rPr>
          <w:lang w:val="en-AU" w:bidi="ar-SA"/>
        </w:rPr>
      </w:pPr>
      <w:r>
        <w:rPr>
          <w:rFonts w:eastAsia="Calibri"/>
          <w:szCs w:val="22"/>
          <w:lang w:val="en-AU" w:bidi="ar-SA"/>
        </w:rPr>
        <w:t xml:space="preserve">FSANZ had regard to the </w:t>
      </w:r>
      <w:r w:rsidRPr="00DA4C43">
        <w:rPr>
          <w:lang w:val="en-AU"/>
        </w:rPr>
        <w:t>Ministerial Policy Guideline</w:t>
      </w:r>
      <w:r>
        <w:rPr>
          <w:rFonts w:eastAsia="Calibri"/>
          <w:szCs w:val="22"/>
          <w:lang w:val="en-AU" w:bidi="ar-SA"/>
        </w:rPr>
        <w:t xml:space="preserve"> in relation to soy leghemoglobin as a form of iron. </w:t>
      </w:r>
      <w:r>
        <w:rPr>
          <w:rFonts w:eastAsia="Calibri"/>
          <w:i/>
          <w:szCs w:val="22"/>
          <w:lang w:val="en-AU" w:bidi="ar-SA"/>
        </w:rPr>
        <w:t>Specific order policy principles – Voluntary fortification</w:t>
      </w:r>
      <w:r>
        <w:rPr>
          <w:rFonts w:eastAsia="Calibri"/>
          <w:szCs w:val="22"/>
          <w:lang w:val="en-AU" w:bidi="ar-SA"/>
        </w:rPr>
        <w:t xml:space="preserve"> states the “voluntary addition of vitamins and minerals to food should be permitted to enable the nutritional profile of specific substitute foods to be aligned with the primary food (through nutritional equivalence)”. </w:t>
      </w:r>
      <w:r>
        <w:rPr>
          <w:lang w:val="en-AU" w:bidi="ar-SA"/>
        </w:rPr>
        <w:t xml:space="preserve">Based on current Code permissions, FSANZ previously considered the fortification of meat analogue products with iron is acceptable </w:t>
      </w:r>
      <w:r w:rsidR="001734D6">
        <w:rPr>
          <w:lang w:val="en-AU" w:bidi="ar-SA"/>
        </w:rPr>
        <w:t>as it brings</w:t>
      </w:r>
      <w:r>
        <w:rPr>
          <w:lang w:val="en-AU"/>
        </w:rPr>
        <w:t xml:space="preserve"> the nutritional profile of these foods closer to meat, the traditional counterpart, </w:t>
      </w:r>
      <w:r>
        <w:rPr>
          <w:lang w:val="en-AU" w:bidi="ar-SA"/>
        </w:rPr>
        <w:t>and provid</w:t>
      </w:r>
      <w:r w:rsidR="001734D6">
        <w:rPr>
          <w:lang w:val="en-AU" w:bidi="ar-SA"/>
        </w:rPr>
        <w:t>es</w:t>
      </w:r>
      <w:r>
        <w:rPr>
          <w:lang w:val="en-AU" w:bidi="ar-SA"/>
        </w:rPr>
        <w:t xml:space="preserve"> a fortified option for consumers looking for alternative choices to meat. </w:t>
      </w:r>
    </w:p>
    <w:p w14:paraId="1A6ED00C" w14:textId="77777777" w:rsidR="000B4D20" w:rsidRDefault="000B4D20" w:rsidP="000B4D20">
      <w:pPr>
        <w:rPr>
          <w:lang w:val="en-AU" w:bidi="ar-SA"/>
        </w:rPr>
      </w:pPr>
    </w:p>
    <w:p w14:paraId="28300DAA" w14:textId="08F9F451" w:rsidR="000B4D20" w:rsidRPr="000E702F" w:rsidRDefault="000B4D20" w:rsidP="000B4D20">
      <w:pPr>
        <w:rPr>
          <w:lang w:bidi="ar-SA"/>
        </w:rPr>
      </w:pPr>
      <w:r>
        <w:rPr>
          <w:lang w:val="en-AU"/>
        </w:rPr>
        <w:t xml:space="preserve">The nutritional impact assessment in </w:t>
      </w:r>
      <w:r w:rsidRPr="00B1134B">
        <w:rPr>
          <w:lang w:val="en-AU"/>
        </w:rPr>
        <w:t xml:space="preserve">Section </w:t>
      </w:r>
      <w:r>
        <w:rPr>
          <w:lang w:val="en-AU"/>
        </w:rPr>
        <w:t xml:space="preserve">2.5 of SD1 indicates that, although there are multiple factors that impact the bioavailability of iron in humans, </w:t>
      </w:r>
      <w:r>
        <w:rPr>
          <w:szCs w:val="22"/>
        </w:rPr>
        <w:t xml:space="preserve">in general, haem iron is more bioavailable than non-haem iron. </w:t>
      </w:r>
      <w:r>
        <w:t xml:space="preserve">The use of a form of iron closer to that found in the </w:t>
      </w:r>
      <w:r w:rsidR="009D578E">
        <w:t xml:space="preserve">traditional </w:t>
      </w:r>
      <w:r>
        <w:t>counterpart</w:t>
      </w:r>
      <w:r>
        <w:rPr>
          <w:szCs w:val="22"/>
        </w:rPr>
        <w:t xml:space="preserve"> </w:t>
      </w:r>
      <w:r w:rsidR="009D578E">
        <w:rPr>
          <w:szCs w:val="22"/>
        </w:rPr>
        <w:t xml:space="preserve">food </w:t>
      </w:r>
      <w:r>
        <w:rPr>
          <w:szCs w:val="22"/>
        </w:rPr>
        <w:t xml:space="preserve">more closely upholds the principle of nutritional equivalence. </w:t>
      </w:r>
    </w:p>
    <w:p w14:paraId="5688FA2A" w14:textId="77777777" w:rsidR="000B4D20" w:rsidRDefault="000B4D20" w:rsidP="000B4D20">
      <w:pPr>
        <w:widowControl/>
      </w:pPr>
    </w:p>
    <w:p w14:paraId="5FF1FB11" w14:textId="5BD3A784" w:rsidR="000B4D20" w:rsidRDefault="009D578E" w:rsidP="000B4D20">
      <w:pPr>
        <w:widowControl/>
        <w:rPr>
          <w:szCs w:val="22"/>
        </w:rPr>
      </w:pPr>
      <w:r>
        <w:rPr>
          <w:lang w:val="en-AU"/>
        </w:rPr>
        <w:t>In the Code, t</w:t>
      </w:r>
      <w:r w:rsidR="000B4D20">
        <w:rPr>
          <w:lang w:val="en-AU"/>
        </w:rPr>
        <w:t xml:space="preserve">here are currently 17 permitted forms of ferric or ferrous iron in section S17—3 </w:t>
      </w:r>
      <w:r w:rsidR="00664296">
        <w:rPr>
          <w:lang w:val="en-AU"/>
        </w:rPr>
        <w:t>with which</w:t>
      </w:r>
      <w:r w:rsidR="000B4D20">
        <w:rPr>
          <w:lang w:val="en-AU"/>
        </w:rPr>
        <w:t xml:space="preserve"> manufacturers can fortify their products. </w:t>
      </w:r>
      <w:r>
        <w:rPr>
          <w:lang w:val="en-AU"/>
        </w:rPr>
        <w:t>T</w:t>
      </w:r>
      <w:r w:rsidR="000B4D20">
        <w:rPr>
          <w:lang w:val="en-AU"/>
        </w:rPr>
        <w:t xml:space="preserve">here are no sources of haem iron permitted, therefore there are currently no sources of haem iron in meat analogue products. </w:t>
      </w:r>
    </w:p>
    <w:p w14:paraId="6B625D88" w14:textId="42160160" w:rsidR="00786F78" w:rsidRDefault="00786F78" w:rsidP="00996A59">
      <w:pPr>
        <w:widowControl/>
      </w:pPr>
    </w:p>
    <w:p w14:paraId="2CBDF592" w14:textId="125B557A" w:rsidR="000B4D20" w:rsidRDefault="00392B69" w:rsidP="00996A59">
      <w:pPr>
        <w:widowControl/>
      </w:pPr>
      <w:r>
        <w:lastRenderedPageBreak/>
        <w:t xml:space="preserve">FSANZ </w:t>
      </w:r>
      <w:r w:rsidR="009D578E">
        <w:t xml:space="preserve">concludes </w:t>
      </w:r>
      <w:r>
        <w:t>that t</w:t>
      </w:r>
      <w:r w:rsidR="00FE72D2">
        <w:t xml:space="preserve">he use of a form of </w:t>
      </w:r>
      <w:r>
        <w:t xml:space="preserve">haem </w:t>
      </w:r>
      <w:r w:rsidR="00FE72D2">
        <w:t>iron</w:t>
      </w:r>
      <w:r w:rsidR="000F47CC">
        <w:t xml:space="preserve"> in meat analogue products</w:t>
      </w:r>
      <w:r>
        <w:t xml:space="preserve"> is arguably</w:t>
      </w:r>
      <w:r w:rsidR="00FE72D2">
        <w:t xml:space="preserve"> closer to that found in the </w:t>
      </w:r>
      <w:r>
        <w:t xml:space="preserve">traditional </w:t>
      </w:r>
      <w:r w:rsidR="00FE72D2">
        <w:t>counterpart</w:t>
      </w:r>
      <w:r w:rsidR="000F47CC">
        <w:t xml:space="preserve"> </w:t>
      </w:r>
      <w:r w:rsidR="008609EF">
        <w:t xml:space="preserve">than currently permitted forms of iron </w:t>
      </w:r>
      <w:r w:rsidR="000F47CC">
        <w:t xml:space="preserve">and therefore </w:t>
      </w:r>
      <w:r w:rsidR="00996A59">
        <w:t xml:space="preserve">the </w:t>
      </w:r>
      <w:r>
        <w:t xml:space="preserve">Ministerial </w:t>
      </w:r>
      <w:r w:rsidR="00996A59">
        <w:t>Policy Guideline</w:t>
      </w:r>
      <w:r w:rsidR="000F47CC">
        <w:t xml:space="preserve"> principle on nutritional equivalence has been met</w:t>
      </w:r>
      <w:r w:rsidR="00996A59">
        <w:t>.</w:t>
      </w:r>
    </w:p>
    <w:p w14:paraId="6346DA6F" w14:textId="3B12EFF4" w:rsidR="00021FF9" w:rsidRDefault="00021FF9" w:rsidP="00996A59">
      <w:pPr>
        <w:widowControl/>
      </w:pPr>
    </w:p>
    <w:p w14:paraId="608C3E3A" w14:textId="6DDF37D5" w:rsidR="00021FF9" w:rsidRDefault="009D578E" w:rsidP="008609EF">
      <w:r>
        <w:rPr>
          <w:szCs w:val="20"/>
        </w:rPr>
        <w:t>FSANZ notes that, i</w:t>
      </w:r>
      <w:r w:rsidR="00021FF9" w:rsidRPr="000811D7">
        <w:rPr>
          <w:szCs w:val="20"/>
        </w:rPr>
        <w:t xml:space="preserve">n November 2019, the Australia and New Zealand Ministerial Forum on Food Regulation asked </w:t>
      </w:r>
      <w:r w:rsidR="00021FF9">
        <w:rPr>
          <w:szCs w:val="20"/>
        </w:rPr>
        <w:t xml:space="preserve">the Food Regulation Standing Committee </w:t>
      </w:r>
      <w:r w:rsidR="00021FF9" w:rsidRPr="000811D7">
        <w:rPr>
          <w:szCs w:val="20"/>
        </w:rPr>
        <w:t xml:space="preserve">to consider regulatory and labelling issues relating to </w:t>
      </w:r>
      <w:r>
        <w:rPr>
          <w:szCs w:val="20"/>
        </w:rPr>
        <w:t>analogue</w:t>
      </w:r>
      <w:r w:rsidR="00021FF9" w:rsidRPr="000811D7">
        <w:rPr>
          <w:szCs w:val="20"/>
        </w:rPr>
        <w:t xml:space="preserve"> foods, with a view to developing a policy guideline</w:t>
      </w:r>
      <w:r w:rsidR="00021FF9" w:rsidRPr="000811D7">
        <w:rPr>
          <w:rStyle w:val="FootnoteReference"/>
          <w:szCs w:val="20"/>
        </w:rPr>
        <w:footnoteReference w:id="15"/>
      </w:r>
      <w:r w:rsidR="00021FF9" w:rsidRPr="000811D7">
        <w:rPr>
          <w:szCs w:val="20"/>
        </w:rPr>
        <w:t xml:space="preserve">. </w:t>
      </w:r>
      <w:r w:rsidR="00021FF9">
        <w:rPr>
          <w:szCs w:val="20"/>
        </w:rPr>
        <w:t>Currently, there is no other relevant policy guidance.</w:t>
      </w:r>
    </w:p>
    <w:p w14:paraId="18CD42C0" w14:textId="3D81C96D" w:rsidR="000B4D20" w:rsidRDefault="00392B69" w:rsidP="000B4D20">
      <w:pPr>
        <w:pStyle w:val="Heading2"/>
      </w:pPr>
      <w:bookmarkStart w:id="198" w:name="_Toc42875245"/>
      <w:bookmarkStart w:id="199" w:name="_Toc43126898"/>
      <w:bookmarkStart w:id="200" w:name="_Toc43128149"/>
      <w:r>
        <w:t>5.4</w:t>
      </w:r>
      <w:r w:rsidR="000B4D20">
        <w:tab/>
      </w:r>
      <w:r w:rsidR="00F076CD">
        <w:t>C</w:t>
      </w:r>
      <w:r w:rsidR="000B4D20">
        <w:t>onclusion</w:t>
      </w:r>
      <w:bookmarkEnd w:id="198"/>
      <w:bookmarkEnd w:id="199"/>
      <w:bookmarkEnd w:id="200"/>
    </w:p>
    <w:p w14:paraId="685B5A11" w14:textId="3889703D" w:rsidR="000B4D20" w:rsidRDefault="00677411">
      <w:r>
        <w:rPr>
          <w:rFonts w:cs="Arial"/>
          <w:szCs w:val="22"/>
        </w:rPr>
        <w:t xml:space="preserve">FSANZ </w:t>
      </w:r>
      <w:r w:rsidR="005C0D6F">
        <w:rPr>
          <w:rFonts w:cs="Arial"/>
          <w:szCs w:val="22"/>
        </w:rPr>
        <w:t xml:space="preserve">has </w:t>
      </w:r>
      <w:r>
        <w:rPr>
          <w:rFonts w:cs="Arial"/>
          <w:szCs w:val="22"/>
        </w:rPr>
        <w:t>assess</w:t>
      </w:r>
      <w:r w:rsidR="005C0D6F">
        <w:rPr>
          <w:rFonts w:cs="Arial"/>
          <w:szCs w:val="22"/>
        </w:rPr>
        <w:t xml:space="preserve">ed </w:t>
      </w:r>
      <w:r w:rsidR="00C66076">
        <w:rPr>
          <w:rFonts w:cs="Arial"/>
          <w:szCs w:val="22"/>
        </w:rPr>
        <w:t>application A1186, concluding</w:t>
      </w:r>
      <w:r w:rsidR="00C66076">
        <w:rPr>
          <w:rFonts w:eastAsia="Calibri"/>
          <w:szCs w:val="22"/>
          <w:lang w:bidi="ar-SA"/>
        </w:rPr>
        <w:t xml:space="preserve"> soy leghemoglobin and </w:t>
      </w:r>
      <w:r w:rsidR="00C66076">
        <w:rPr>
          <w:rFonts w:eastAsia="Calibri" w:cs="Arial"/>
          <w:szCs w:val="22"/>
        </w:rPr>
        <w:t xml:space="preserve">the </w:t>
      </w:r>
      <w:r w:rsidR="00F77CAE">
        <w:rPr>
          <w:rFonts w:eastAsia="Calibri" w:cs="Arial"/>
          <w:szCs w:val="22"/>
        </w:rPr>
        <w:t xml:space="preserve">form of </w:t>
      </w:r>
      <w:r w:rsidR="00C66076" w:rsidRPr="00874E96">
        <w:rPr>
          <w:rFonts w:eastAsia="Calibri"/>
          <w:szCs w:val="22"/>
          <w:lang w:bidi="ar-SA"/>
        </w:rPr>
        <w:t xml:space="preserve">LegH Prep </w:t>
      </w:r>
      <w:r w:rsidR="00C66076">
        <w:rPr>
          <w:rFonts w:eastAsia="Calibri"/>
          <w:szCs w:val="22"/>
          <w:lang w:bidi="ar-SA"/>
        </w:rPr>
        <w:t>raises</w:t>
      </w:r>
      <w:r w:rsidR="00C66076" w:rsidRPr="00874E96">
        <w:rPr>
          <w:rFonts w:eastAsia="Calibri"/>
          <w:szCs w:val="22"/>
          <w:lang w:bidi="ar-SA"/>
        </w:rPr>
        <w:t xml:space="preserve"> no </w:t>
      </w:r>
      <w:r w:rsidR="00C66076">
        <w:rPr>
          <w:rFonts w:eastAsia="Calibri" w:cs="Arial"/>
          <w:szCs w:val="22"/>
        </w:rPr>
        <w:t>public health and safety concerns</w:t>
      </w:r>
      <w:r w:rsidR="00C66076" w:rsidRPr="00874E96">
        <w:rPr>
          <w:rFonts w:eastAsia="Calibri"/>
          <w:szCs w:val="22"/>
          <w:lang w:bidi="ar-SA"/>
        </w:rPr>
        <w:t xml:space="preserve"> associated with its</w:t>
      </w:r>
      <w:r w:rsidR="00C66076">
        <w:rPr>
          <w:rFonts w:eastAsia="Calibri" w:cs="Arial"/>
          <w:szCs w:val="22"/>
        </w:rPr>
        <w:t xml:space="preserve"> use </w:t>
      </w:r>
      <w:r w:rsidR="00C66076" w:rsidRPr="00623FA6">
        <w:rPr>
          <w:rFonts w:eastAsia="Calibri" w:cs="Arial"/>
          <w:szCs w:val="22"/>
        </w:rPr>
        <w:t xml:space="preserve">in </w:t>
      </w:r>
      <w:r w:rsidR="00C66076">
        <w:rPr>
          <w:rFonts w:eastAsia="Calibri" w:cs="Arial"/>
          <w:szCs w:val="22"/>
        </w:rPr>
        <w:t>meat analogue products</w:t>
      </w:r>
      <w:r w:rsidR="00C66076">
        <w:rPr>
          <w:rFonts w:eastAsia="Calibri"/>
          <w:szCs w:val="22"/>
          <w:lang w:bidi="ar-SA"/>
        </w:rPr>
        <w:t>,</w:t>
      </w:r>
      <w:r w:rsidR="00C66076" w:rsidRPr="00874E96">
        <w:rPr>
          <w:rFonts w:eastAsia="Calibri"/>
          <w:szCs w:val="22"/>
          <w:lang w:bidi="ar-SA"/>
        </w:rPr>
        <w:t xml:space="preserve"> at the proposed </w:t>
      </w:r>
      <w:r w:rsidR="00C66076">
        <w:rPr>
          <w:rFonts w:eastAsia="Calibri"/>
          <w:szCs w:val="22"/>
          <w:lang w:bidi="ar-SA"/>
        </w:rPr>
        <w:t xml:space="preserve">maximum use </w:t>
      </w:r>
      <w:r w:rsidR="00C66076" w:rsidRPr="00874E96">
        <w:rPr>
          <w:rFonts w:eastAsia="Calibri"/>
          <w:szCs w:val="22"/>
          <w:lang w:bidi="ar-SA"/>
        </w:rPr>
        <w:t>level</w:t>
      </w:r>
      <w:r w:rsidR="00C66076">
        <w:rPr>
          <w:rFonts w:eastAsia="Calibri"/>
          <w:szCs w:val="22"/>
          <w:lang w:bidi="ar-SA"/>
        </w:rPr>
        <w:t xml:space="preserve"> of 0.8%</w:t>
      </w:r>
      <w:r w:rsidR="00C66076">
        <w:rPr>
          <w:rFonts w:eastAsia="Calibri" w:cs="Arial"/>
          <w:szCs w:val="22"/>
        </w:rPr>
        <w:t xml:space="preserve"> soy leghemoglobin</w:t>
      </w:r>
      <w:r w:rsidR="005C0D6F">
        <w:rPr>
          <w:rFonts w:cs="Arial"/>
          <w:szCs w:val="22"/>
        </w:rPr>
        <w:t xml:space="preserve">. </w:t>
      </w:r>
      <w:r w:rsidR="00C66076">
        <w:rPr>
          <w:rFonts w:cs="Arial"/>
          <w:szCs w:val="22"/>
        </w:rPr>
        <w:t>FSANZ</w:t>
      </w:r>
      <w:r>
        <w:rPr>
          <w:rFonts w:cs="Arial"/>
          <w:szCs w:val="22"/>
        </w:rPr>
        <w:t xml:space="preserve"> also </w:t>
      </w:r>
      <w:r w:rsidR="000B4D20">
        <w:t xml:space="preserve">considered the </w:t>
      </w:r>
      <w:r>
        <w:t xml:space="preserve">application </w:t>
      </w:r>
      <w:r w:rsidR="005C0D6F">
        <w:t xml:space="preserve">against </w:t>
      </w:r>
      <w:r>
        <w:t xml:space="preserve">other </w:t>
      </w:r>
      <w:r w:rsidR="000B4D20">
        <w:t xml:space="preserve">statutory requirements in Section 18 of the FSANZ Act. The approach has given regard to the best available science, international consistency and industry trade and competition (high level principles in the ministerial policy guideline) as well as to the relevant policy guidelines in accordance with subsection 18(2) of the Act. </w:t>
      </w:r>
    </w:p>
    <w:p w14:paraId="139B1C4A" w14:textId="77777777" w:rsidR="000B4D20" w:rsidRDefault="000B4D20" w:rsidP="000B4D20"/>
    <w:p w14:paraId="4098FBC1" w14:textId="08D88DB9" w:rsidR="000B4D20" w:rsidRDefault="000B4D20" w:rsidP="000B4D20">
      <w:r>
        <w:rPr>
          <w:lang w:bidi="ar-SA"/>
        </w:rPr>
        <w:t>As requested by stakeholders during the 1</w:t>
      </w:r>
      <w:r w:rsidRPr="004C144D">
        <w:rPr>
          <w:vertAlign w:val="superscript"/>
          <w:lang w:bidi="ar-SA"/>
        </w:rPr>
        <w:t>st</w:t>
      </w:r>
      <w:r>
        <w:rPr>
          <w:lang w:bidi="ar-SA"/>
        </w:rPr>
        <w:t xml:space="preserve"> CFS, FSANZ additionally considered factors related to the applicant’s meat analogue products containing soy leghemoglobin and the potential for Australia</w:t>
      </w:r>
      <w:r w:rsidR="00C66076">
        <w:rPr>
          <w:lang w:bidi="ar-SA"/>
        </w:rPr>
        <w:t>n and</w:t>
      </w:r>
      <w:r>
        <w:rPr>
          <w:lang w:bidi="ar-SA"/>
        </w:rPr>
        <w:t xml:space="preserve"> New Zealand consumers to be misled by meat analogue products (see above in </w:t>
      </w:r>
      <w:r w:rsidR="005C0D6F">
        <w:rPr>
          <w:lang w:bidi="ar-SA"/>
        </w:rPr>
        <w:t xml:space="preserve">Section </w:t>
      </w:r>
      <w:r>
        <w:rPr>
          <w:lang w:bidi="ar-SA"/>
        </w:rPr>
        <w:t>3.2 and SD2).</w:t>
      </w:r>
    </w:p>
    <w:p w14:paraId="47FEEFC8" w14:textId="77777777" w:rsidR="000B4D20" w:rsidRDefault="000B4D20" w:rsidP="000B4D20"/>
    <w:p w14:paraId="1A41AF3D" w14:textId="45B95264" w:rsidR="000B4D20" w:rsidRDefault="000B4D20" w:rsidP="000B4D20">
      <w:r>
        <w:t>FSANZ concluded that the proposed permission promotes</w:t>
      </w:r>
      <w:r w:rsidR="00020409">
        <w:t xml:space="preserve"> greater</w:t>
      </w:r>
      <w:r>
        <w:t xml:space="preserve"> consistency between domestic and international food standards and supports an efficient and internationally competitive food industry, as soy leghemoglobin is currently permitted in meat analogue products in other countries. The permission for use of soy leghemoglobin to be (i) </w:t>
      </w:r>
      <w:r>
        <w:rPr>
          <w:i/>
        </w:rPr>
        <w:t>used as a nutritive substance</w:t>
      </w:r>
      <w:r>
        <w:t xml:space="preserve">, and soy leghemoglobin in the form of LegH Prep (ii) as </w:t>
      </w:r>
      <w:r>
        <w:rPr>
          <w:i/>
        </w:rPr>
        <w:t>food produced using gene technology</w:t>
      </w:r>
      <w:r>
        <w:t xml:space="preserve"> provides </w:t>
      </w:r>
      <w:r w:rsidR="008060F8">
        <w:t>an alternative option for the iron fortification of meat analogue products across Australia and Ne</w:t>
      </w:r>
      <w:r>
        <w:t>w Zealand. Additi</w:t>
      </w:r>
      <w:r w:rsidR="008060F8">
        <w:t>onally, the proposed permission</w:t>
      </w:r>
      <w:r>
        <w:t xml:space="preserve"> paves the way for future product innovation in the alternative protein industry. </w:t>
      </w:r>
    </w:p>
    <w:p w14:paraId="64EC79FF" w14:textId="77777777" w:rsidR="000B4D20" w:rsidRDefault="000B4D20" w:rsidP="000B4D20">
      <w:pPr>
        <w:widowControl/>
        <w:rPr>
          <w:rFonts w:cs="Arial"/>
          <w:szCs w:val="20"/>
        </w:rPr>
      </w:pPr>
    </w:p>
    <w:p w14:paraId="0FF0F81D" w14:textId="6AF71B96" w:rsidR="000B4D20" w:rsidRPr="001734D6" w:rsidRDefault="000B4D20" w:rsidP="001734D6">
      <w:pPr>
        <w:pStyle w:val="Default"/>
        <w:rPr>
          <w:sz w:val="22"/>
          <w:szCs w:val="22"/>
        </w:rPr>
      </w:pPr>
      <w:r w:rsidRPr="008911D8">
        <w:rPr>
          <w:sz w:val="22"/>
          <w:szCs w:val="22"/>
        </w:rPr>
        <w:t xml:space="preserve">Having considered the </w:t>
      </w:r>
      <w:r>
        <w:rPr>
          <w:sz w:val="22"/>
          <w:szCs w:val="22"/>
        </w:rPr>
        <w:t>submissions</w:t>
      </w:r>
      <w:r w:rsidRPr="008911D8">
        <w:rPr>
          <w:sz w:val="22"/>
          <w:szCs w:val="22"/>
        </w:rPr>
        <w:t xml:space="preserve"> </w:t>
      </w:r>
      <w:r>
        <w:rPr>
          <w:sz w:val="22"/>
          <w:szCs w:val="22"/>
        </w:rPr>
        <w:t xml:space="preserve">to the 1st CFS, FSANZ now invites stakeholder input on the proposed draft </w:t>
      </w:r>
      <w:r w:rsidRPr="008911D8">
        <w:rPr>
          <w:sz w:val="22"/>
          <w:szCs w:val="22"/>
        </w:rPr>
        <w:t>variation to the Code</w:t>
      </w:r>
      <w:r>
        <w:rPr>
          <w:sz w:val="22"/>
          <w:szCs w:val="22"/>
        </w:rPr>
        <w:t>.</w:t>
      </w:r>
    </w:p>
    <w:p w14:paraId="6BCB5955" w14:textId="77777777" w:rsidR="00E520FE" w:rsidRPr="00996A59" w:rsidRDefault="00E520FE" w:rsidP="00DD3C5E"/>
    <w:p w14:paraId="732EF262" w14:textId="108511CB" w:rsidR="005F7342" w:rsidRPr="00996A59" w:rsidRDefault="00996A59" w:rsidP="00E203C2">
      <w:pPr>
        <w:pStyle w:val="Heading1"/>
      </w:pPr>
      <w:bookmarkStart w:id="201" w:name="_Toc286391014"/>
      <w:bookmarkStart w:id="202" w:name="_Toc175381455"/>
      <w:bookmarkStart w:id="203" w:name="_Toc300933445"/>
      <w:bookmarkStart w:id="204" w:name="_Toc41576683"/>
      <w:bookmarkStart w:id="205" w:name="_Toc42875246"/>
      <w:bookmarkStart w:id="206" w:name="_Toc43126899"/>
      <w:bookmarkStart w:id="207" w:name="_Toc43128150"/>
      <w:bookmarkEnd w:id="47"/>
      <w:bookmarkEnd w:id="48"/>
      <w:bookmarkEnd w:id="49"/>
      <w:bookmarkEnd w:id="50"/>
      <w:bookmarkEnd w:id="51"/>
      <w:bookmarkEnd w:id="52"/>
      <w:bookmarkEnd w:id="84"/>
      <w:r w:rsidRPr="00996A59">
        <w:t>6</w:t>
      </w:r>
      <w:r w:rsidR="00F604DE" w:rsidRPr="00996A59">
        <w:tab/>
      </w:r>
      <w:bookmarkEnd w:id="201"/>
      <w:bookmarkEnd w:id="202"/>
      <w:bookmarkEnd w:id="203"/>
      <w:r w:rsidR="00D14405" w:rsidRPr="00996A59">
        <w:t>Draft variation</w:t>
      </w:r>
      <w:bookmarkEnd w:id="204"/>
      <w:bookmarkEnd w:id="205"/>
      <w:bookmarkEnd w:id="206"/>
      <w:bookmarkEnd w:id="207"/>
    </w:p>
    <w:p w14:paraId="6B159801" w14:textId="45F336D1" w:rsidR="00D209C9" w:rsidRPr="00331D41" w:rsidRDefault="00D209C9" w:rsidP="00D209C9">
      <w:pPr>
        <w:rPr>
          <w:szCs w:val="22"/>
        </w:rPr>
      </w:pPr>
      <w:r w:rsidRPr="00331D41">
        <w:rPr>
          <w:szCs w:val="22"/>
        </w:rPr>
        <w:t xml:space="preserve">The draft variation to the Code is at </w:t>
      </w:r>
      <w:r w:rsidR="00133D6A">
        <w:rPr>
          <w:szCs w:val="22"/>
        </w:rPr>
        <w:t>Attachment</w:t>
      </w:r>
      <w:r w:rsidRPr="00331D41">
        <w:rPr>
          <w:szCs w:val="22"/>
        </w:rPr>
        <w:t xml:space="preserve"> A and is intended to take effect on </w:t>
      </w:r>
      <w:r w:rsidR="000564DE" w:rsidRPr="000944C8">
        <w:rPr>
          <w:szCs w:val="22"/>
        </w:rPr>
        <w:t>gazettal</w:t>
      </w:r>
      <w:r w:rsidRPr="000944C8">
        <w:rPr>
          <w:szCs w:val="22"/>
        </w:rPr>
        <w:t>.</w:t>
      </w:r>
    </w:p>
    <w:p w14:paraId="367548B0" w14:textId="77777777" w:rsidR="00D209C9" w:rsidRPr="00331D41" w:rsidRDefault="00D209C9" w:rsidP="00D209C9">
      <w:pPr>
        <w:rPr>
          <w:szCs w:val="22"/>
        </w:rPr>
      </w:pPr>
    </w:p>
    <w:p w14:paraId="4C72582F" w14:textId="1C810D16" w:rsidR="00A12B44" w:rsidRPr="00331D41" w:rsidRDefault="002C4A91" w:rsidP="00A12B44">
      <w:pPr>
        <w:rPr>
          <w:szCs w:val="22"/>
        </w:rPr>
      </w:pPr>
      <w:r w:rsidRPr="00331D41">
        <w:rPr>
          <w:szCs w:val="22"/>
        </w:rPr>
        <w:t>A</w:t>
      </w:r>
      <w:r w:rsidR="005358B0" w:rsidRPr="00331D41">
        <w:rPr>
          <w:szCs w:val="22"/>
        </w:rPr>
        <w:t xml:space="preserve"> draft explanatory statement </w:t>
      </w:r>
      <w:r w:rsidRPr="00331D41">
        <w:rPr>
          <w:szCs w:val="22"/>
        </w:rPr>
        <w:t>is</w:t>
      </w:r>
      <w:r w:rsidR="005358B0" w:rsidRPr="00331D41">
        <w:rPr>
          <w:szCs w:val="22"/>
        </w:rPr>
        <w:t xml:space="preserve"> at </w:t>
      </w:r>
      <w:r w:rsidR="00133D6A">
        <w:rPr>
          <w:szCs w:val="22"/>
        </w:rPr>
        <w:t>Attachment</w:t>
      </w:r>
      <w:r w:rsidR="005358B0" w:rsidRPr="00331D41">
        <w:rPr>
          <w:szCs w:val="22"/>
        </w:rPr>
        <w:t xml:space="preserve"> B. </w:t>
      </w:r>
      <w:r w:rsidR="00D26814" w:rsidRPr="00331D41">
        <w:rPr>
          <w:szCs w:val="22"/>
        </w:rPr>
        <w:t>An explanatory statement is required to accompany an instrument if it is lodged on the Federal Register of Legislati</w:t>
      </w:r>
      <w:r w:rsidR="004D6BBF" w:rsidRPr="00331D41">
        <w:rPr>
          <w:szCs w:val="22"/>
        </w:rPr>
        <w:t>on</w:t>
      </w:r>
      <w:r w:rsidR="00D26814" w:rsidRPr="00331D41">
        <w:rPr>
          <w:szCs w:val="22"/>
        </w:rPr>
        <w:t xml:space="preserve">. </w:t>
      </w:r>
    </w:p>
    <w:p w14:paraId="5896CDBF" w14:textId="36D06A90" w:rsidR="002329FC" w:rsidRPr="00331D41" w:rsidRDefault="002329FC" w:rsidP="00A12B44">
      <w:pPr>
        <w:rPr>
          <w:szCs w:val="22"/>
          <w:u w:val="single"/>
        </w:rPr>
      </w:pPr>
    </w:p>
    <w:p w14:paraId="7494EAAE" w14:textId="3E4539A9" w:rsidR="002329FC" w:rsidRPr="00331D41" w:rsidRDefault="00331D41" w:rsidP="00A12B44">
      <w:pPr>
        <w:rPr>
          <w:szCs w:val="22"/>
        </w:rPr>
      </w:pPr>
      <w:r w:rsidRPr="00331D41">
        <w:rPr>
          <w:szCs w:val="22"/>
        </w:rPr>
        <w:t xml:space="preserve">A </w:t>
      </w:r>
      <w:r w:rsidR="002329FC" w:rsidRPr="00331D41">
        <w:rPr>
          <w:szCs w:val="22"/>
        </w:rPr>
        <w:t>Mock</w:t>
      </w:r>
      <w:r w:rsidRPr="00331D41">
        <w:rPr>
          <w:szCs w:val="22"/>
        </w:rPr>
        <w:t>-</w:t>
      </w:r>
      <w:r w:rsidR="002329FC" w:rsidRPr="00331D41">
        <w:rPr>
          <w:szCs w:val="22"/>
        </w:rPr>
        <w:t xml:space="preserve">up </w:t>
      </w:r>
      <w:r w:rsidRPr="00331D41">
        <w:rPr>
          <w:szCs w:val="22"/>
        </w:rPr>
        <w:t xml:space="preserve">of </w:t>
      </w:r>
      <w:r w:rsidR="000A376F">
        <w:rPr>
          <w:szCs w:val="22"/>
        </w:rPr>
        <w:t>Schedules 3 and 26 (</w:t>
      </w:r>
      <w:r w:rsidR="006D6278">
        <w:rPr>
          <w:szCs w:val="22"/>
        </w:rPr>
        <w:t xml:space="preserve">prepared </w:t>
      </w:r>
      <w:r w:rsidR="006D6278" w:rsidRPr="00903F06">
        <w:rPr>
          <w:i/>
          <w:szCs w:val="22"/>
        </w:rPr>
        <w:t>as if</w:t>
      </w:r>
      <w:r w:rsidR="000A376F">
        <w:rPr>
          <w:szCs w:val="22"/>
        </w:rPr>
        <w:t xml:space="preserve"> </w:t>
      </w:r>
      <w:r w:rsidR="00903F06">
        <w:rPr>
          <w:szCs w:val="22"/>
        </w:rPr>
        <w:t xml:space="preserve">the draft variations of </w:t>
      </w:r>
      <w:r w:rsidR="000A376F">
        <w:rPr>
          <w:szCs w:val="22"/>
        </w:rPr>
        <w:t xml:space="preserve">both A1155 (another application under review by FSANZ) and A1186 </w:t>
      </w:r>
      <w:r w:rsidR="006D6278">
        <w:rPr>
          <w:szCs w:val="22"/>
        </w:rPr>
        <w:t>have been</w:t>
      </w:r>
      <w:r w:rsidR="000A376F">
        <w:rPr>
          <w:szCs w:val="22"/>
        </w:rPr>
        <w:t xml:space="preserve"> approved)</w:t>
      </w:r>
      <w:r w:rsidRPr="00331D41">
        <w:rPr>
          <w:szCs w:val="22"/>
        </w:rPr>
        <w:t xml:space="preserve"> </w:t>
      </w:r>
      <w:r w:rsidR="000A376F">
        <w:rPr>
          <w:szCs w:val="22"/>
        </w:rPr>
        <w:t>is at</w:t>
      </w:r>
      <w:r w:rsidR="000A376F" w:rsidRPr="00331D41">
        <w:rPr>
          <w:szCs w:val="22"/>
        </w:rPr>
        <w:t xml:space="preserve"> </w:t>
      </w:r>
      <w:r w:rsidR="00133D6A">
        <w:rPr>
          <w:szCs w:val="22"/>
        </w:rPr>
        <w:t>Attachment</w:t>
      </w:r>
      <w:r w:rsidR="002329FC" w:rsidRPr="00331D41">
        <w:rPr>
          <w:szCs w:val="22"/>
        </w:rPr>
        <w:t xml:space="preserve"> C</w:t>
      </w:r>
      <w:r w:rsidRPr="00331D41">
        <w:rPr>
          <w:szCs w:val="22"/>
        </w:rPr>
        <w:t xml:space="preserve">. </w:t>
      </w:r>
      <w:r w:rsidR="000A376F">
        <w:rPr>
          <w:szCs w:val="22"/>
        </w:rPr>
        <w:t xml:space="preserve">The draft variation for A1186 was prepared taking into account the draft variation for A1155 as approved by FSANZ </w:t>
      </w:r>
      <w:r w:rsidR="0084556B">
        <w:rPr>
          <w:szCs w:val="22"/>
        </w:rPr>
        <w:t>on20 December 20</w:t>
      </w:r>
      <w:r w:rsidR="0001770C">
        <w:rPr>
          <w:szCs w:val="22"/>
        </w:rPr>
        <w:t>19</w:t>
      </w:r>
      <w:r w:rsidR="000A376F">
        <w:rPr>
          <w:szCs w:val="22"/>
        </w:rPr>
        <w:t xml:space="preserve">. As the draft variation for A1155 is </w:t>
      </w:r>
      <w:r w:rsidR="00224492">
        <w:rPr>
          <w:szCs w:val="22"/>
        </w:rPr>
        <w:t xml:space="preserve">currently </w:t>
      </w:r>
      <w:r w:rsidR="000A376F">
        <w:rPr>
          <w:szCs w:val="22"/>
        </w:rPr>
        <w:t xml:space="preserve">under review and not yet in force, </w:t>
      </w:r>
      <w:r w:rsidR="006D6278">
        <w:rPr>
          <w:szCs w:val="22"/>
        </w:rPr>
        <w:t xml:space="preserve">the Code, as is, does not include the relevant amendments. </w:t>
      </w:r>
      <w:r w:rsidR="00133D6A">
        <w:rPr>
          <w:szCs w:val="22"/>
        </w:rPr>
        <w:t>Attachment</w:t>
      </w:r>
      <w:r w:rsidR="000A376F">
        <w:rPr>
          <w:szCs w:val="22"/>
        </w:rPr>
        <w:t xml:space="preserve"> C</w:t>
      </w:r>
      <w:r w:rsidR="000A376F" w:rsidRPr="00331D41">
        <w:rPr>
          <w:szCs w:val="22"/>
        </w:rPr>
        <w:t xml:space="preserve"> </w:t>
      </w:r>
      <w:r w:rsidRPr="00331D41">
        <w:rPr>
          <w:szCs w:val="22"/>
        </w:rPr>
        <w:t xml:space="preserve">was added to </w:t>
      </w:r>
      <w:r w:rsidR="00224492">
        <w:rPr>
          <w:szCs w:val="22"/>
        </w:rPr>
        <w:t>assist</w:t>
      </w:r>
      <w:r w:rsidR="000A376F" w:rsidRPr="00331D41">
        <w:rPr>
          <w:szCs w:val="22"/>
        </w:rPr>
        <w:t xml:space="preserve"> </w:t>
      </w:r>
      <w:r w:rsidRPr="00331D41">
        <w:rPr>
          <w:szCs w:val="22"/>
        </w:rPr>
        <w:t xml:space="preserve">stakeholders </w:t>
      </w:r>
      <w:r w:rsidR="00224492">
        <w:rPr>
          <w:szCs w:val="22"/>
        </w:rPr>
        <w:t>in</w:t>
      </w:r>
      <w:r w:rsidR="00224492" w:rsidRPr="00331D41">
        <w:rPr>
          <w:szCs w:val="22"/>
        </w:rPr>
        <w:t xml:space="preserve"> </w:t>
      </w:r>
      <w:r w:rsidR="000A376F">
        <w:rPr>
          <w:szCs w:val="22"/>
        </w:rPr>
        <w:t>understand</w:t>
      </w:r>
      <w:r w:rsidR="00224492">
        <w:rPr>
          <w:szCs w:val="22"/>
        </w:rPr>
        <w:t>ing</w:t>
      </w:r>
      <w:r w:rsidRPr="00331D41">
        <w:rPr>
          <w:szCs w:val="22"/>
        </w:rPr>
        <w:t xml:space="preserve"> the draft variation for A1186.</w:t>
      </w:r>
    </w:p>
    <w:p w14:paraId="6ACA59B4" w14:textId="77777777" w:rsidR="00D26814" w:rsidRPr="00996A59" w:rsidRDefault="00D26814" w:rsidP="002432EE">
      <w:pPr>
        <w:rPr>
          <w:rFonts w:cs="Arial"/>
        </w:rPr>
      </w:pPr>
      <w:bookmarkStart w:id="208" w:name="_Toc11735643"/>
      <w:bookmarkStart w:id="209" w:name="_Toc29883130"/>
      <w:bookmarkStart w:id="210" w:name="_Toc41906817"/>
      <w:bookmarkStart w:id="211" w:name="_Toc41907564"/>
      <w:bookmarkStart w:id="212" w:name="_Toc43112360"/>
    </w:p>
    <w:p w14:paraId="6FE02C0C" w14:textId="10D2E860" w:rsidR="00924C80" w:rsidRPr="00996A59" w:rsidRDefault="00996A59" w:rsidP="00E75054">
      <w:pPr>
        <w:pStyle w:val="Heading1"/>
      </w:pPr>
      <w:bookmarkStart w:id="213" w:name="_Toc300933452"/>
      <w:bookmarkStart w:id="214" w:name="_Toc41576684"/>
      <w:bookmarkStart w:id="215" w:name="_Toc42875247"/>
      <w:bookmarkStart w:id="216" w:name="_Toc43126900"/>
      <w:bookmarkStart w:id="217" w:name="_Toc43128151"/>
      <w:r w:rsidRPr="00996A59">
        <w:t>7</w:t>
      </w:r>
      <w:r w:rsidR="00924C80" w:rsidRPr="00996A59">
        <w:tab/>
        <w:t>R</w:t>
      </w:r>
      <w:bookmarkEnd w:id="213"/>
      <w:r w:rsidR="006C28E2" w:rsidRPr="00996A59">
        <w:t>eferences</w:t>
      </w:r>
      <w:bookmarkEnd w:id="214"/>
      <w:bookmarkEnd w:id="215"/>
      <w:bookmarkEnd w:id="216"/>
      <w:bookmarkEnd w:id="217"/>
    </w:p>
    <w:bookmarkEnd w:id="208"/>
    <w:bookmarkEnd w:id="209"/>
    <w:bookmarkEnd w:id="210"/>
    <w:bookmarkEnd w:id="211"/>
    <w:bookmarkEnd w:id="212"/>
    <w:p w14:paraId="640D1E1E" w14:textId="2A6FAB63" w:rsidR="00293295" w:rsidRPr="00293295" w:rsidRDefault="00293295" w:rsidP="00CD6389">
      <w:pPr>
        <w:spacing w:before="240"/>
        <w:rPr>
          <w:rFonts w:cs="Arial"/>
          <w:sz w:val="20"/>
          <w:szCs w:val="22"/>
        </w:rPr>
      </w:pPr>
      <w:r w:rsidRPr="00293295">
        <w:rPr>
          <w:rFonts w:cs="Arial"/>
          <w:sz w:val="20"/>
          <w:szCs w:val="22"/>
        </w:rPr>
        <w:t xml:space="preserve">Codex (2009) Foods derived from modern biotechnology 2nd edition. Codex Alimentarius Commission, Rome. </w:t>
      </w:r>
      <w:hyperlink r:id="rId34" w:history="1">
        <w:r w:rsidRPr="00293295">
          <w:rPr>
            <w:rStyle w:val="Hyperlink"/>
            <w:rFonts w:cs="Arial"/>
            <w:sz w:val="20"/>
            <w:szCs w:val="22"/>
          </w:rPr>
          <w:t>http://www.fao.org/docrep/pdf/011/a1554e/a1554e00.pdf</w:t>
        </w:r>
      </w:hyperlink>
      <w:r w:rsidRPr="00293295">
        <w:rPr>
          <w:rFonts w:cs="Arial"/>
          <w:sz w:val="20"/>
          <w:szCs w:val="22"/>
        </w:rPr>
        <w:t>. Accessed 16 October 2019</w:t>
      </w:r>
    </w:p>
    <w:p w14:paraId="7275E8DD" w14:textId="534DA057" w:rsidR="00CD6389" w:rsidRPr="00293295" w:rsidRDefault="00B454CC" w:rsidP="00CD6389">
      <w:pPr>
        <w:spacing w:before="240"/>
        <w:rPr>
          <w:rFonts w:cs="Arial"/>
          <w:sz w:val="20"/>
          <w:szCs w:val="22"/>
        </w:rPr>
      </w:pPr>
      <w:r w:rsidRPr="00293295">
        <w:rPr>
          <w:rFonts w:cs="Arial"/>
          <w:sz w:val="20"/>
          <w:szCs w:val="22"/>
        </w:rPr>
        <w:t>Cook</w:t>
      </w:r>
      <w:r w:rsidR="00CD6389" w:rsidRPr="00293295">
        <w:rPr>
          <w:rFonts w:cs="Arial"/>
          <w:sz w:val="20"/>
          <w:szCs w:val="22"/>
        </w:rPr>
        <w:t xml:space="preserve"> T</w:t>
      </w:r>
      <w:r w:rsidRPr="00293295">
        <w:rPr>
          <w:rFonts w:cs="Arial"/>
          <w:sz w:val="20"/>
          <w:szCs w:val="22"/>
        </w:rPr>
        <w:t>I, Rutishauser I, Allsopp R</w:t>
      </w:r>
      <w:r w:rsidR="00CD6389" w:rsidRPr="00293295">
        <w:rPr>
          <w:rFonts w:cs="Arial"/>
          <w:sz w:val="20"/>
          <w:szCs w:val="22"/>
        </w:rPr>
        <w:t xml:space="preserve"> (2001) The Bridging Study – comparing results from the 1983, 1985 and 1995 Australian national nutrition surveys. Commonwealth Department of Health and Aged Care: Canberra.</w:t>
      </w:r>
    </w:p>
    <w:p w14:paraId="53443CC8" w14:textId="524EAA52" w:rsidR="00CD6389" w:rsidRPr="00293295" w:rsidRDefault="00B454CC" w:rsidP="00CD6389">
      <w:pPr>
        <w:spacing w:before="240"/>
        <w:rPr>
          <w:rFonts w:cs="Arial"/>
          <w:sz w:val="20"/>
          <w:szCs w:val="22"/>
        </w:rPr>
      </w:pPr>
      <w:r w:rsidRPr="00293295">
        <w:rPr>
          <w:rFonts w:cs="Arial"/>
          <w:sz w:val="20"/>
          <w:szCs w:val="22"/>
        </w:rPr>
        <w:lastRenderedPageBreak/>
        <w:t xml:space="preserve">Cook TI, Rutishauser I, </w:t>
      </w:r>
      <w:r w:rsidR="00CD6389" w:rsidRPr="00293295">
        <w:rPr>
          <w:rFonts w:cs="Arial"/>
          <w:sz w:val="20"/>
          <w:szCs w:val="22"/>
        </w:rPr>
        <w:t>Seel</w:t>
      </w:r>
      <w:r w:rsidRPr="00293295">
        <w:rPr>
          <w:rFonts w:cs="Arial"/>
          <w:sz w:val="20"/>
          <w:szCs w:val="22"/>
        </w:rPr>
        <w:t>ig M</w:t>
      </w:r>
      <w:r w:rsidR="00CD6389" w:rsidRPr="00293295">
        <w:rPr>
          <w:rFonts w:cs="Arial"/>
          <w:sz w:val="20"/>
          <w:szCs w:val="22"/>
        </w:rPr>
        <w:t xml:space="preserve"> (2001) Comparable Data on Food and Nutrient Intake and Physical Measurements from the 1983, 1985 and 1995 National Nutrition Surveys. Commonwealth Department of Health and Aged Care: Canberra.</w:t>
      </w:r>
    </w:p>
    <w:p w14:paraId="5A4BD936" w14:textId="781A0BC6" w:rsidR="00CD6389" w:rsidRPr="00293295" w:rsidRDefault="00CD6389" w:rsidP="00CD6389">
      <w:pPr>
        <w:spacing w:before="240"/>
        <w:rPr>
          <w:rFonts w:cs="Arial"/>
          <w:sz w:val="20"/>
          <w:szCs w:val="22"/>
        </w:rPr>
      </w:pPr>
      <w:r w:rsidRPr="00293295">
        <w:rPr>
          <w:rFonts w:cs="Arial"/>
          <w:sz w:val="20"/>
          <w:szCs w:val="22"/>
        </w:rPr>
        <w:t>Coumoul X, Servien R, Juricek L, Kaddouch-Amar Y, Lippi Y, Berthelot L, Naylies C, Morvan ML, Antignac JP, Desdoits-Lethimonier C, Jegou B, Tremblay-Franco M, Canlet C, Debrauwer L, Le Gall C, Laurent J, Gouraud PA, Cravedi JP, Jeunesse E, Savy N, Dandere-Abdoulkarim K, Arnich N, Fourès F, Cotton J, Broudin S, Corman B, Moing A, Laporte B, Richard-Forget F, Barouki R, Rogowsky P, Salles B (2019) The GMO90+ Project: Absence of evidence for biologically meaningful effects of genetically modified maize-based diets on Wistar rats after 6-months feeding comparative Trial. Toxicol Sci 168(2):315-338.</w:t>
      </w:r>
    </w:p>
    <w:p w14:paraId="4BCFC626" w14:textId="1AD2E752" w:rsidR="00FD3952" w:rsidRDefault="00FD3952" w:rsidP="00CD6389">
      <w:pPr>
        <w:spacing w:before="240"/>
        <w:rPr>
          <w:rFonts w:cs="Arial"/>
          <w:sz w:val="20"/>
          <w:szCs w:val="22"/>
        </w:rPr>
      </w:pPr>
      <w:r w:rsidRPr="002D0DC5">
        <w:rPr>
          <w:rFonts w:cs="Arial"/>
          <w:sz w:val="20"/>
          <w:szCs w:val="22"/>
        </w:rPr>
        <w:t xml:space="preserve">FAO/WHO (2009) </w:t>
      </w:r>
      <w:r w:rsidRPr="002D0DC5">
        <w:rPr>
          <w:rFonts w:cs="Arial"/>
          <w:bCs/>
          <w:sz w:val="20"/>
          <w:szCs w:val="22"/>
        </w:rPr>
        <w:t>P</w:t>
      </w:r>
      <w:r w:rsidRPr="002D0DC5">
        <w:rPr>
          <w:rFonts w:cs="Arial"/>
          <w:sz w:val="20"/>
          <w:szCs w:val="22"/>
        </w:rPr>
        <w:t>rinciples and methods</w:t>
      </w:r>
      <w:r w:rsidRPr="002D0DC5">
        <w:rPr>
          <w:rFonts w:cs="Arial"/>
          <w:b/>
          <w:bCs/>
          <w:sz w:val="20"/>
          <w:szCs w:val="22"/>
        </w:rPr>
        <w:t xml:space="preserve"> </w:t>
      </w:r>
      <w:r w:rsidRPr="002D0DC5">
        <w:rPr>
          <w:rFonts w:cs="Arial"/>
          <w:sz w:val="20"/>
          <w:szCs w:val="22"/>
        </w:rPr>
        <w:t>for the risk assessment of</w:t>
      </w:r>
      <w:r w:rsidRPr="002D0DC5">
        <w:rPr>
          <w:rFonts w:cs="Arial"/>
          <w:b/>
          <w:bCs/>
          <w:sz w:val="20"/>
          <w:szCs w:val="22"/>
        </w:rPr>
        <w:t xml:space="preserve"> </w:t>
      </w:r>
      <w:r w:rsidRPr="002D0DC5">
        <w:rPr>
          <w:rFonts w:cs="Arial"/>
          <w:sz w:val="20"/>
          <w:szCs w:val="22"/>
        </w:rPr>
        <w:t>chemicals in food</w:t>
      </w:r>
      <w:r>
        <w:rPr>
          <w:rFonts w:cs="Arial"/>
          <w:sz w:val="20"/>
          <w:szCs w:val="22"/>
        </w:rPr>
        <w:t xml:space="preserve">: </w:t>
      </w:r>
      <w:r w:rsidRPr="002D0DC5">
        <w:rPr>
          <w:rFonts w:cs="Arial"/>
          <w:bCs/>
          <w:sz w:val="20"/>
          <w:szCs w:val="22"/>
        </w:rPr>
        <w:t>Environmental Health Criteria 240</w:t>
      </w:r>
      <w:r w:rsidRPr="002D0DC5">
        <w:rPr>
          <w:rFonts w:cs="Arial"/>
          <w:sz w:val="20"/>
          <w:szCs w:val="22"/>
        </w:rPr>
        <w:t>. Food and Agriculture Organization of the United Nations and the World Health Organization</w:t>
      </w:r>
      <w:r>
        <w:rPr>
          <w:rFonts w:cs="Arial"/>
          <w:sz w:val="20"/>
          <w:szCs w:val="22"/>
        </w:rPr>
        <w:t xml:space="preserve">. Geneva, Switzerland. Available at: </w:t>
      </w:r>
      <w:hyperlink r:id="rId35" w:history="1">
        <w:r w:rsidRPr="00F52B39">
          <w:rPr>
            <w:rStyle w:val="Hyperlink"/>
            <w:rFonts w:cs="Arial"/>
            <w:sz w:val="20"/>
            <w:szCs w:val="22"/>
          </w:rPr>
          <w:t>https://www.who.int/publications/i/item/principles-and-methods-for-the-risk-assessment-of-chemicals-in-food</w:t>
        </w:r>
      </w:hyperlink>
      <w:r>
        <w:rPr>
          <w:rFonts w:cs="Arial"/>
          <w:sz w:val="20"/>
          <w:szCs w:val="22"/>
        </w:rPr>
        <w:t>.</w:t>
      </w:r>
      <w:r w:rsidR="00487587">
        <w:rPr>
          <w:rFonts w:cs="Arial"/>
          <w:sz w:val="20"/>
          <w:szCs w:val="22"/>
        </w:rPr>
        <w:t xml:space="preserve"> Accessed 15 June 2020. </w:t>
      </w:r>
    </w:p>
    <w:p w14:paraId="5C33664A" w14:textId="557D87CE" w:rsidR="00CD6389" w:rsidRPr="00293295" w:rsidRDefault="00CD6389" w:rsidP="00CD6389">
      <w:pPr>
        <w:spacing w:before="240"/>
        <w:rPr>
          <w:rFonts w:cs="Arial"/>
          <w:sz w:val="20"/>
          <w:szCs w:val="22"/>
        </w:rPr>
      </w:pPr>
      <w:r w:rsidRPr="00293295">
        <w:rPr>
          <w:rFonts w:cs="Arial"/>
          <w:sz w:val="20"/>
          <w:szCs w:val="22"/>
        </w:rPr>
        <w:t>IARC (2018) Red meat and processed meat. IARC Monographs on the evaluation of carcinogenic risks to humans, volume 114. International Agency for Research on Cancer. Lyon, France.</w:t>
      </w:r>
    </w:p>
    <w:p w14:paraId="75FD9902" w14:textId="2AC709F6" w:rsidR="00CD6389" w:rsidRPr="00293295" w:rsidRDefault="00CD6389" w:rsidP="00CD6389">
      <w:pPr>
        <w:spacing w:before="240"/>
        <w:rPr>
          <w:rFonts w:cs="Arial"/>
          <w:sz w:val="20"/>
          <w:szCs w:val="22"/>
        </w:rPr>
      </w:pPr>
      <w:r w:rsidRPr="00293295">
        <w:rPr>
          <w:rFonts w:cs="Arial"/>
          <w:sz w:val="20"/>
          <w:szCs w:val="22"/>
        </w:rPr>
        <w:t>Kruger C, Zhou Y (2018) Red meat and colon cancer: A review of mechanistic evidence for heme in the context of risk assessment methodology. Food Chem Toxicol 118: 131-153.</w:t>
      </w:r>
    </w:p>
    <w:p w14:paraId="67F20433" w14:textId="4C7795AC" w:rsidR="00841CB8" w:rsidRPr="00293295" w:rsidRDefault="00841CB8" w:rsidP="00CD6389">
      <w:pPr>
        <w:spacing w:before="240"/>
        <w:rPr>
          <w:rFonts w:cs="Arial"/>
          <w:szCs w:val="22"/>
        </w:rPr>
      </w:pPr>
      <w:r w:rsidRPr="00293295">
        <w:rPr>
          <w:rFonts w:cs="Arial"/>
          <w:sz w:val="20"/>
          <w:szCs w:val="20"/>
        </w:rPr>
        <w:t xml:space="preserve">Ordway GA, Garry DJ (2004) Myoglobin: an essential hemoprotein in striated muscle. Journal of Experimental Biology, 207: 3441-3446. </w:t>
      </w:r>
      <w:r w:rsidRPr="00293295">
        <w:rPr>
          <w:rFonts w:cs="Arial"/>
          <w:sz w:val="20"/>
          <w:szCs w:val="20"/>
          <w:lang w:val="en"/>
        </w:rPr>
        <w:t>doi: 10.1242/jeb.01172</w:t>
      </w:r>
    </w:p>
    <w:p w14:paraId="6AF814E2" w14:textId="59ABBDBE" w:rsidR="00CD6389" w:rsidRPr="00293295" w:rsidRDefault="00CD6389" w:rsidP="00CD6389">
      <w:pPr>
        <w:spacing w:before="240"/>
        <w:rPr>
          <w:rFonts w:cs="Arial"/>
          <w:sz w:val="20"/>
          <w:szCs w:val="22"/>
        </w:rPr>
      </w:pPr>
      <w:r w:rsidRPr="00293295">
        <w:rPr>
          <w:rFonts w:cs="Arial"/>
          <w:sz w:val="20"/>
          <w:szCs w:val="22"/>
        </w:rPr>
        <w:t>Séralini G, Clair E, Mesnage R, Gress S, Defarge N, Malatesta M, Hennequin D, de Vendômois JS (2012) RETRACTED: Long term toxicity of a roundup herbicide and a roundup-tolerant genetically modified maize. Food Chem Toxicol 50(11): 4221–4231.</w:t>
      </w:r>
    </w:p>
    <w:p w14:paraId="7AC7F3BE" w14:textId="17D98FC3" w:rsidR="00CD6389" w:rsidRPr="00293295" w:rsidRDefault="00CD6389" w:rsidP="00CD6389">
      <w:pPr>
        <w:spacing w:before="240"/>
        <w:rPr>
          <w:rFonts w:cs="Arial"/>
          <w:sz w:val="20"/>
          <w:szCs w:val="22"/>
        </w:rPr>
      </w:pPr>
      <w:r w:rsidRPr="00293295">
        <w:rPr>
          <w:rFonts w:cs="Arial"/>
          <w:sz w:val="20"/>
          <w:szCs w:val="22"/>
        </w:rPr>
        <w:t>Steinberg P, van der Voet H, Goedhart PW, Kleter G, Kok EJ, Pla M, Nadal A, Zeljenková D, Aláčová R, Babincová J, Rollerová E, Jaďuďová S, Kebis A, Szabova E, Tulinská J, Líšková A, Takácsová M, Mikušová ML, Krivošíková Z, Spök A, Racovita M, de Vriend H, Alison R, Alison C, Baumgärtner W, Becker K, Lempp C, Schmicke M, Schrenk D, Pöting A, Schiemann J, Wilhelm R (2019) Lack of adverse effects in subchronic and chronic toxicity/carcinogenicity studies on the glyphosate-resistant genetically modified maize NK603 in Wistar Han RCC rats. Arch Toxicol 93:1095–1139.</w:t>
      </w:r>
    </w:p>
    <w:p w14:paraId="6E4A55C6" w14:textId="7A8581C7" w:rsidR="008D60A4" w:rsidRDefault="008D60A4" w:rsidP="00CD6389">
      <w:pPr>
        <w:spacing w:before="240"/>
        <w:rPr>
          <w:rFonts w:cs="Arial"/>
          <w:sz w:val="20"/>
          <w:szCs w:val="22"/>
        </w:rPr>
      </w:pPr>
      <w:r w:rsidRPr="000A2586">
        <w:rPr>
          <w:rFonts w:cs="Arial"/>
          <w:sz w:val="20"/>
          <w:szCs w:val="20"/>
          <w:lang w:val="en-AU"/>
        </w:rPr>
        <w:t xml:space="preserve">Texas A&amp;M Institute (2019) Meat Science: Meat Color. College Station (TX): Texas A&amp;M Institute. Available at: </w:t>
      </w:r>
      <w:hyperlink r:id="rId36" w:history="1">
        <w:r w:rsidRPr="004C2A99">
          <w:rPr>
            <w:rStyle w:val="Hyperlink"/>
            <w:rFonts w:cs="Arial"/>
            <w:sz w:val="20"/>
            <w:szCs w:val="20"/>
            <w:lang w:val="en-AU"/>
          </w:rPr>
          <w:t>https://meat.tamu.edu/ansc-307-honors/meat-color/</w:t>
        </w:r>
      </w:hyperlink>
      <w:r>
        <w:rPr>
          <w:rFonts w:cs="Arial"/>
          <w:sz w:val="20"/>
          <w:szCs w:val="20"/>
          <w:lang w:val="en-AU"/>
        </w:rPr>
        <w:t xml:space="preserve"> Accessed: 20 October, 2019</w:t>
      </w:r>
    </w:p>
    <w:p w14:paraId="2DDB4487" w14:textId="0A25FC3D" w:rsidR="00CD6389" w:rsidRPr="00293295" w:rsidRDefault="00CD6389" w:rsidP="00CD6389">
      <w:pPr>
        <w:spacing w:before="240"/>
        <w:rPr>
          <w:rFonts w:cs="Arial"/>
          <w:sz w:val="20"/>
          <w:szCs w:val="22"/>
        </w:rPr>
      </w:pPr>
      <w:r w:rsidRPr="00293295">
        <w:rPr>
          <w:rFonts w:cs="Arial"/>
          <w:sz w:val="20"/>
          <w:szCs w:val="22"/>
        </w:rPr>
        <w:t xml:space="preserve">Turner ND, Lloyd SK (2017) Association between red meat consumption and colon cancer: A systematic review of experimental results. Exp Biol Med 242: 813-839. </w:t>
      </w:r>
    </w:p>
    <w:p w14:paraId="7407F2AC" w14:textId="77777777" w:rsidR="00E66811" w:rsidRDefault="00E66811">
      <w:pPr>
        <w:widowControl/>
        <w:rPr>
          <w:b/>
          <w:sz w:val="28"/>
          <w:szCs w:val="28"/>
        </w:rPr>
      </w:pPr>
      <w:r>
        <w:rPr>
          <w:b/>
          <w:sz w:val="28"/>
          <w:szCs w:val="28"/>
        </w:rPr>
        <w:br w:type="page"/>
      </w:r>
    </w:p>
    <w:p w14:paraId="4D998A70" w14:textId="3986661B" w:rsidR="003C4969" w:rsidRPr="00924C80" w:rsidRDefault="00133D6A" w:rsidP="00CD6389">
      <w:pPr>
        <w:spacing w:before="240"/>
        <w:rPr>
          <w:b/>
          <w:sz w:val="28"/>
          <w:szCs w:val="28"/>
        </w:rPr>
      </w:pPr>
      <w:r>
        <w:rPr>
          <w:b/>
          <w:sz w:val="28"/>
          <w:szCs w:val="28"/>
        </w:rPr>
        <w:lastRenderedPageBreak/>
        <w:t>Attachments</w:t>
      </w:r>
    </w:p>
    <w:p w14:paraId="1660CAC0" w14:textId="77777777" w:rsidR="00A4175D" w:rsidRPr="00E203C2" w:rsidRDefault="00A4175D" w:rsidP="00AF06FC"/>
    <w:p w14:paraId="1A4ED5FC" w14:textId="1614CB86"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5D73DACB" w14:textId="186E6BD1" w:rsidR="00AB0275" w:rsidRDefault="00AB0275" w:rsidP="00AB0275">
      <w:pPr>
        <w:ind w:left="567" w:hanging="567"/>
      </w:pPr>
      <w:r w:rsidRPr="00456BD5">
        <w:t>B.</w:t>
      </w:r>
      <w:r w:rsidRPr="00456BD5">
        <w:tab/>
      </w:r>
      <w:r w:rsidR="002C4A91">
        <w:t xml:space="preserve">Draft </w:t>
      </w:r>
      <w:r>
        <w:t xml:space="preserve">Explanatory Statement </w:t>
      </w:r>
    </w:p>
    <w:p w14:paraId="289485FF" w14:textId="22E911D9" w:rsidR="00033970" w:rsidRDefault="00033970" w:rsidP="00AB0275">
      <w:pPr>
        <w:ind w:left="567" w:hanging="567"/>
      </w:pPr>
      <w:r>
        <w:t>C.</w:t>
      </w:r>
      <w:r>
        <w:tab/>
      </w:r>
      <w:r w:rsidR="007658FC" w:rsidRPr="00133D6A">
        <w:t xml:space="preserve">Mock-up of </w:t>
      </w:r>
      <w:r w:rsidR="00275289" w:rsidRPr="00133D6A">
        <w:t xml:space="preserve">proposed </w:t>
      </w:r>
      <w:r w:rsidR="007658FC" w:rsidRPr="00133D6A">
        <w:t>drafting</w:t>
      </w:r>
      <w:r w:rsidR="00275289" w:rsidRPr="00133D6A">
        <w:t xml:space="preserve"> for Schedule 3 and </w:t>
      </w:r>
      <w:r w:rsidR="007F33BD" w:rsidRPr="00133D6A">
        <w:t xml:space="preserve">Schedule </w:t>
      </w:r>
      <w:r w:rsidR="00275289" w:rsidRPr="00133D6A">
        <w:t>26</w:t>
      </w:r>
    </w:p>
    <w:p w14:paraId="409D8B11" w14:textId="49FA0350" w:rsidR="00D60568" w:rsidRPr="00E203C2" w:rsidRDefault="0075213F" w:rsidP="00847006">
      <w:pPr>
        <w:ind w:left="567" w:hanging="567"/>
      </w:pPr>
      <w:r>
        <w:t>D</w:t>
      </w:r>
      <w:r w:rsidR="000F22E9">
        <w:t>.</w:t>
      </w:r>
      <w:r w:rsidR="000F22E9">
        <w:tab/>
        <w:t>Full list of submitters at 1</w:t>
      </w:r>
      <w:r w:rsidR="000F22E9" w:rsidRPr="000F22E9">
        <w:rPr>
          <w:vertAlign w:val="superscript"/>
        </w:rPr>
        <w:t>st</w:t>
      </w:r>
      <w:r w:rsidR="000F22E9">
        <w:t xml:space="preserve"> CFS</w:t>
      </w:r>
    </w:p>
    <w:p w14:paraId="76ECE589" w14:textId="34A7B981" w:rsidR="00AB0275" w:rsidRPr="00456BD5" w:rsidRDefault="00AB0275" w:rsidP="00241786">
      <w:pPr>
        <w:pStyle w:val="Heading2"/>
        <w:spacing w:after="480"/>
        <w:ind w:left="0" w:firstLine="0"/>
      </w:pPr>
      <w:bookmarkStart w:id="218" w:name="_Toc300933454"/>
      <w:r w:rsidRPr="00932F14">
        <w:br w:type="page"/>
      </w:r>
      <w:bookmarkStart w:id="219" w:name="_Toc29883131"/>
      <w:bookmarkStart w:id="220" w:name="_Toc41906818"/>
      <w:bookmarkStart w:id="221" w:name="_Toc41907565"/>
      <w:bookmarkStart w:id="222" w:name="_Toc120358596"/>
      <w:bookmarkStart w:id="223" w:name="_Toc175381458"/>
      <w:bookmarkStart w:id="224" w:name="_Toc11735644"/>
      <w:bookmarkStart w:id="225" w:name="_Toc415572037"/>
      <w:bookmarkStart w:id="226" w:name="_Toc41576685"/>
      <w:bookmarkStart w:id="227" w:name="_Toc42875248"/>
      <w:bookmarkStart w:id="228" w:name="_Toc43126901"/>
      <w:bookmarkStart w:id="229" w:name="_Toc43128152"/>
      <w:r w:rsidR="000F22E9">
        <w:lastRenderedPageBreak/>
        <w:t>A</w:t>
      </w:r>
      <w:r w:rsidR="00AB2BE0">
        <w:t>ttachment</w:t>
      </w:r>
      <w:r w:rsidRPr="00932F14">
        <w:t xml:space="preserve"> </w:t>
      </w:r>
      <w:bookmarkEnd w:id="219"/>
      <w:bookmarkEnd w:id="220"/>
      <w:bookmarkEnd w:id="221"/>
      <w:bookmarkEnd w:id="222"/>
      <w:bookmarkEnd w:id="223"/>
      <w:r>
        <w:t>A</w:t>
      </w:r>
      <w:bookmarkStart w:id="230" w:name="_Toc120358597"/>
      <w:bookmarkStart w:id="231" w:name="_Toc175381459"/>
      <w:bookmarkEnd w:id="224"/>
      <w:r>
        <w:t xml:space="preserve"> –</w:t>
      </w:r>
      <w:r w:rsidR="00CA3C65">
        <w:t xml:space="preserve"> </w:t>
      </w:r>
      <w:bookmarkStart w:id="232" w:name="_Toc415572039"/>
      <w:bookmarkEnd w:id="218"/>
      <w:bookmarkEnd w:id="225"/>
      <w:bookmarkEnd w:id="230"/>
      <w:bookmarkEnd w:id="231"/>
      <w:r w:rsidR="00CA3C65">
        <w:t>D</w:t>
      </w:r>
      <w:r>
        <w:t xml:space="preserve">raft </w:t>
      </w:r>
      <w:r w:rsidRPr="00932F14">
        <w:t>variation to the</w:t>
      </w:r>
      <w:r w:rsidRPr="00755F02">
        <w:t xml:space="preserve"> </w:t>
      </w:r>
      <w:r w:rsidRPr="00795D86">
        <w:rPr>
          <w:i/>
        </w:rPr>
        <w:t>Australia New Zealand Food Standards Code</w:t>
      </w:r>
      <w:bookmarkEnd w:id="226"/>
      <w:bookmarkEnd w:id="227"/>
      <w:bookmarkEnd w:id="228"/>
      <w:bookmarkEnd w:id="229"/>
      <w:r>
        <w:rPr>
          <w:i/>
        </w:rPr>
        <w:t xml:space="preserve"> </w:t>
      </w:r>
      <w:bookmarkEnd w:id="232"/>
    </w:p>
    <w:p w14:paraId="381547FE" w14:textId="77777777" w:rsidR="00033970" w:rsidRPr="00C0014E" w:rsidRDefault="00033970" w:rsidP="00033970">
      <w:pPr>
        <w:rPr>
          <w:noProof/>
          <w:sz w:val="20"/>
          <w:lang w:val="en-AU" w:eastAsia="en-AU"/>
        </w:rPr>
      </w:pPr>
      <w:r w:rsidRPr="00C0014E">
        <w:rPr>
          <w:noProof/>
          <w:sz w:val="20"/>
          <w:lang w:eastAsia="en-GB" w:bidi="ar-SA"/>
        </w:rPr>
        <w:drawing>
          <wp:inline distT="0" distB="0" distL="0" distR="0" wp14:anchorId="1783420A" wp14:editId="21894550">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377BE08" w14:textId="77777777" w:rsidR="00033970" w:rsidRPr="006153A1" w:rsidRDefault="00033970" w:rsidP="00033970">
      <w:pPr>
        <w:pBdr>
          <w:bottom w:val="single" w:sz="4" w:space="1" w:color="auto"/>
        </w:pBdr>
        <w:rPr>
          <w:b/>
          <w:bCs/>
        </w:rPr>
      </w:pPr>
    </w:p>
    <w:p w14:paraId="43C1FBD1" w14:textId="77777777" w:rsidR="00033970" w:rsidRDefault="00033970" w:rsidP="00033970">
      <w:pPr>
        <w:pBdr>
          <w:bottom w:val="single" w:sz="4" w:space="1" w:color="auto"/>
        </w:pBdr>
        <w:rPr>
          <w:b/>
          <w:sz w:val="20"/>
        </w:rPr>
      </w:pPr>
      <w:r w:rsidRPr="006153A1">
        <w:rPr>
          <w:b/>
          <w:sz w:val="20"/>
        </w:rPr>
        <w:t>Food Standards (</w:t>
      </w:r>
      <w:r w:rsidRPr="00F618DF">
        <w:rPr>
          <w:b/>
          <w:sz w:val="20"/>
        </w:rPr>
        <w:t>Application A</w:t>
      </w:r>
      <w:r>
        <w:rPr>
          <w:b/>
          <w:sz w:val="20"/>
        </w:rPr>
        <w:t>1186</w:t>
      </w:r>
      <w:r w:rsidRPr="00F618DF">
        <w:rPr>
          <w:b/>
          <w:sz w:val="20"/>
        </w:rPr>
        <w:t xml:space="preserve"> </w:t>
      </w:r>
      <w:r w:rsidRPr="00A32232">
        <w:rPr>
          <w:b/>
          <w:sz w:val="20"/>
        </w:rPr>
        <w:t>–</w:t>
      </w:r>
      <w:r>
        <w:rPr>
          <w:b/>
          <w:sz w:val="20"/>
        </w:rPr>
        <w:t xml:space="preserve"> Soy Leghemoglobin in meat analogue products)</w:t>
      </w:r>
      <w:r w:rsidRPr="00C0014E">
        <w:rPr>
          <w:b/>
          <w:sz w:val="20"/>
        </w:rPr>
        <w:t xml:space="preserve"> Variation</w:t>
      </w:r>
    </w:p>
    <w:p w14:paraId="03E662A3" w14:textId="77777777" w:rsidR="00033970" w:rsidRPr="00C0014E" w:rsidRDefault="00033970" w:rsidP="00033970">
      <w:pPr>
        <w:pBdr>
          <w:bottom w:val="single" w:sz="4" w:space="1" w:color="auto"/>
        </w:pBdr>
        <w:rPr>
          <w:b/>
          <w:sz w:val="20"/>
        </w:rPr>
      </w:pPr>
    </w:p>
    <w:p w14:paraId="3862B54C" w14:textId="77777777" w:rsidR="00033970" w:rsidRPr="008F2616" w:rsidRDefault="00033970" w:rsidP="00033970">
      <w:pPr>
        <w:rPr>
          <w:sz w:val="20"/>
        </w:rPr>
      </w:pPr>
    </w:p>
    <w:p w14:paraId="3DD1F349" w14:textId="77777777" w:rsidR="00033970" w:rsidRPr="008F2616" w:rsidRDefault="00033970" w:rsidP="00033970">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3A6F06B8" w14:textId="77777777" w:rsidR="00033970" w:rsidRPr="008F2616" w:rsidRDefault="00033970" w:rsidP="00033970">
      <w:pPr>
        <w:rPr>
          <w:sz w:val="20"/>
        </w:rPr>
      </w:pPr>
    </w:p>
    <w:p w14:paraId="50619A75" w14:textId="77777777" w:rsidR="00033970" w:rsidRPr="008F2616" w:rsidRDefault="00033970" w:rsidP="00033970">
      <w:pPr>
        <w:rPr>
          <w:sz w:val="20"/>
        </w:rPr>
      </w:pPr>
      <w:r w:rsidRPr="008F2616">
        <w:rPr>
          <w:sz w:val="20"/>
        </w:rPr>
        <w:t xml:space="preserve">Dated </w:t>
      </w:r>
      <w:r>
        <w:rPr>
          <w:sz w:val="20"/>
        </w:rPr>
        <w:t>[To be completed by Delegate]</w:t>
      </w:r>
    </w:p>
    <w:p w14:paraId="4B6F5DA2" w14:textId="77777777" w:rsidR="00033970" w:rsidRPr="008F2616" w:rsidRDefault="00033970" w:rsidP="00033970">
      <w:pPr>
        <w:rPr>
          <w:sz w:val="20"/>
        </w:rPr>
      </w:pPr>
    </w:p>
    <w:p w14:paraId="0A67F59C" w14:textId="77777777" w:rsidR="00033970" w:rsidRDefault="00033970" w:rsidP="00033970">
      <w:pPr>
        <w:rPr>
          <w:sz w:val="20"/>
        </w:rPr>
      </w:pPr>
    </w:p>
    <w:p w14:paraId="51460869" w14:textId="77777777" w:rsidR="00033970" w:rsidRDefault="00033970" w:rsidP="00033970">
      <w:pPr>
        <w:rPr>
          <w:sz w:val="20"/>
        </w:rPr>
      </w:pPr>
    </w:p>
    <w:p w14:paraId="06BD7A77" w14:textId="77777777" w:rsidR="00033970" w:rsidRPr="008F2616" w:rsidRDefault="00033970" w:rsidP="00033970">
      <w:pPr>
        <w:rPr>
          <w:sz w:val="20"/>
        </w:rPr>
      </w:pPr>
    </w:p>
    <w:p w14:paraId="2E0FE44C" w14:textId="77777777" w:rsidR="00033970" w:rsidRPr="008F2616" w:rsidRDefault="00033970" w:rsidP="00033970">
      <w:pPr>
        <w:rPr>
          <w:sz w:val="20"/>
        </w:rPr>
      </w:pPr>
    </w:p>
    <w:p w14:paraId="32B612E0" w14:textId="77777777" w:rsidR="00033970" w:rsidRPr="008F2616" w:rsidRDefault="00033970" w:rsidP="00033970">
      <w:pPr>
        <w:rPr>
          <w:sz w:val="20"/>
        </w:rPr>
      </w:pPr>
      <w:r>
        <w:rPr>
          <w:sz w:val="20"/>
        </w:rPr>
        <w:t>[Name of Delegate]</w:t>
      </w:r>
    </w:p>
    <w:p w14:paraId="0DFED7FF" w14:textId="77777777" w:rsidR="00033970" w:rsidRPr="008F2616" w:rsidRDefault="00033970" w:rsidP="00033970">
      <w:pPr>
        <w:rPr>
          <w:sz w:val="20"/>
        </w:rPr>
      </w:pPr>
      <w:r w:rsidRPr="008F2616">
        <w:rPr>
          <w:sz w:val="20"/>
        </w:rPr>
        <w:t>Delegate of the Board of Food Standards Australia New Zealand</w:t>
      </w:r>
    </w:p>
    <w:p w14:paraId="04B10318" w14:textId="77777777" w:rsidR="00033970" w:rsidRDefault="00033970" w:rsidP="00033970">
      <w:pPr>
        <w:rPr>
          <w:sz w:val="20"/>
        </w:rPr>
      </w:pPr>
    </w:p>
    <w:p w14:paraId="15D05EB4" w14:textId="77777777" w:rsidR="00033970" w:rsidRDefault="00033970" w:rsidP="00033970">
      <w:pPr>
        <w:rPr>
          <w:sz w:val="20"/>
        </w:rPr>
      </w:pPr>
    </w:p>
    <w:p w14:paraId="75CDCE98" w14:textId="77777777" w:rsidR="00033970" w:rsidRDefault="00033970" w:rsidP="00033970">
      <w:pPr>
        <w:rPr>
          <w:sz w:val="20"/>
        </w:rPr>
      </w:pPr>
    </w:p>
    <w:p w14:paraId="737B87B0" w14:textId="77777777" w:rsidR="00033970" w:rsidRDefault="00033970" w:rsidP="00033970">
      <w:pPr>
        <w:rPr>
          <w:sz w:val="20"/>
        </w:rPr>
      </w:pPr>
    </w:p>
    <w:p w14:paraId="65116F7C" w14:textId="77777777" w:rsidR="00033970" w:rsidRDefault="00033970" w:rsidP="00033970">
      <w:pPr>
        <w:rPr>
          <w:sz w:val="20"/>
        </w:rPr>
      </w:pPr>
    </w:p>
    <w:p w14:paraId="68EECE52" w14:textId="4B3DCE22" w:rsidR="00033970" w:rsidRPr="00360C8F" w:rsidRDefault="00033970" w:rsidP="00033970">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Note:</w:t>
      </w:r>
    </w:p>
    <w:p w14:paraId="2C6E1DAC" w14:textId="77777777" w:rsidR="00033970" w:rsidRPr="00360C8F" w:rsidRDefault="00033970" w:rsidP="00033970">
      <w:pPr>
        <w:pBdr>
          <w:top w:val="single" w:sz="4" w:space="1" w:color="auto"/>
          <w:left w:val="single" w:sz="4" w:space="4" w:color="auto"/>
          <w:bottom w:val="single" w:sz="4" w:space="1" w:color="auto"/>
          <w:right w:val="single" w:sz="4" w:space="4" w:color="auto"/>
        </w:pBdr>
        <w:rPr>
          <w:sz w:val="20"/>
          <w:lang w:val="en-AU"/>
        </w:rPr>
      </w:pPr>
    </w:p>
    <w:p w14:paraId="177508F5" w14:textId="77777777" w:rsidR="00033970" w:rsidRPr="00360C8F" w:rsidRDefault="00033970" w:rsidP="00033970">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7FE55EB0" w14:textId="77777777" w:rsidR="00033970" w:rsidRDefault="00033970" w:rsidP="00033970">
      <w:pPr>
        <w:rPr>
          <w:sz w:val="20"/>
        </w:rPr>
      </w:pPr>
    </w:p>
    <w:p w14:paraId="1D6E9547" w14:textId="77777777" w:rsidR="00033970" w:rsidRDefault="00033970" w:rsidP="00033970">
      <w:pPr>
        <w:widowControl/>
        <w:rPr>
          <w:sz w:val="20"/>
        </w:rPr>
      </w:pPr>
      <w:r>
        <w:rPr>
          <w:sz w:val="20"/>
        </w:rPr>
        <w:br w:type="page"/>
      </w:r>
    </w:p>
    <w:p w14:paraId="36618AB4" w14:textId="77777777" w:rsidR="00033970" w:rsidRPr="005F585D" w:rsidRDefault="00033970" w:rsidP="00033970">
      <w:pPr>
        <w:pStyle w:val="FSCDraftingitemheading"/>
      </w:pPr>
      <w:r w:rsidRPr="00D433B1">
        <w:lastRenderedPageBreak/>
        <w:t>1</w:t>
      </w:r>
      <w:r w:rsidRPr="00D433B1">
        <w:tab/>
        <w:t>Name</w:t>
      </w:r>
    </w:p>
    <w:p w14:paraId="5712E0EC" w14:textId="77777777" w:rsidR="00033970" w:rsidRPr="0097412A" w:rsidRDefault="00033970" w:rsidP="00033970">
      <w:pPr>
        <w:pStyle w:val="FSCDraftingitem"/>
      </w:pPr>
      <w:r w:rsidRPr="00DB170D">
        <w:t xml:space="preserve">This instrument is the </w:t>
      </w:r>
      <w:r w:rsidRPr="00792F7C">
        <w:rPr>
          <w:i/>
        </w:rPr>
        <w:t>Food Standards (</w:t>
      </w:r>
      <w:r w:rsidRPr="0097412A">
        <w:rPr>
          <w:i/>
        </w:rPr>
        <w:t>Application A1186 – Soy Leghemog</w:t>
      </w:r>
      <w:r>
        <w:rPr>
          <w:i/>
        </w:rPr>
        <w:t>l</w:t>
      </w:r>
      <w:r w:rsidRPr="0097412A">
        <w:rPr>
          <w:i/>
        </w:rPr>
        <w:t>obin in meat analogue products</w:t>
      </w:r>
      <w:r w:rsidRPr="00792F7C">
        <w:rPr>
          <w:i/>
        </w:rPr>
        <w:t xml:space="preserve">) </w:t>
      </w:r>
      <w:r w:rsidRPr="0097412A">
        <w:rPr>
          <w:i/>
        </w:rPr>
        <w:t>Variation</w:t>
      </w:r>
      <w:r w:rsidRPr="0097412A">
        <w:t>.</w:t>
      </w:r>
    </w:p>
    <w:p w14:paraId="0A4BAD28" w14:textId="77777777" w:rsidR="00033970" w:rsidRPr="0097412A" w:rsidRDefault="00033970" w:rsidP="00033970">
      <w:pPr>
        <w:pStyle w:val="FSCDraftingitemheading"/>
      </w:pPr>
      <w:r w:rsidRPr="0097412A">
        <w:t>2</w:t>
      </w:r>
      <w:r w:rsidRPr="0097412A">
        <w:tab/>
        <w:t xml:space="preserve">Variation to standards in the </w:t>
      </w:r>
      <w:r w:rsidRPr="0097412A">
        <w:rPr>
          <w:i/>
        </w:rPr>
        <w:t>Australia New Zealand Food Standards Code</w:t>
      </w:r>
    </w:p>
    <w:p w14:paraId="143E8ED5" w14:textId="77777777" w:rsidR="00033970" w:rsidRPr="0097412A" w:rsidRDefault="00033970" w:rsidP="00033970">
      <w:pPr>
        <w:pStyle w:val="FSCDraftingitem"/>
      </w:pPr>
      <w:r w:rsidRPr="0097412A">
        <w:t xml:space="preserve">The Schedule varies Standards in the </w:t>
      </w:r>
      <w:r w:rsidRPr="0097412A">
        <w:rPr>
          <w:i/>
        </w:rPr>
        <w:t>Australia New Zealand Food Standards Code</w:t>
      </w:r>
      <w:r w:rsidRPr="0097412A">
        <w:t>.</w:t>
      </w:r>
    </w:p>
    <w:p w14:paraId="3EFA36CE" w14:textId="77777777" w:rsidR="00033970" w:rsidRPr="0097412A" w:rsidRDefault="00033970" w:rsidP="00033970">
      <w:pPr>
        <w:pStyle w:val="FSCDraftingitemheading"/>
      </w:pPr>
      <w:r w:rsidRPr="0097412A">
        <w:t>3</w:t>
      </w:r>
      <w:r w:rsidRPr="0097412A">
        <w:tab/>
        <w:t>Commencement</w:t>
      </w:r>
    </w:p>
    <w:p w14:paraId="201543DF" w14:textId="77777777" w:rsidR="00033970" w:rsidRPr="0097412A" w:rsidRDefault="00033970" w:rsidP="00033970">
      <w:pPr>
        <w:pStyle w:val="FSCDraftingitem"/>
      </w:pPr>
      <w:r w:rsidRPr="0097412A">
        <w:t>The variation commences on the date of gazettal.</w:t>
      </w:r>
    </w:p>
    <w:p w14:paraId="6AD97CFA" w14:textId="77777777" w:rsidR="00033970" w:rsidRPr="0097412A" w:rsidRDefault="00033970" w:rsidP="00033970">
      <w:pPr>
        <w:jc w:val="center"/>
        <w:rPr>
          <w:b/>
          <w:sz w:val="20"/>
        </w:rPr>
      </w:pPr>
      <w:r w:rsidRPr="0097412A">
        <w:rPr>
          <w:b/>
          <w:sz w:val="20"/>
        </w:rPr>
        <w:t>Schedule</w:t>
      </w:r>
    </w:p>
    <w:p w14:paraId="349C8127" w14:textId="77777777" w:rsidR="00033970" w:rsidRDefault="00033970" w:rsidP="00033970">
      <w:pPr>
        <w:pStyle w:val="FSCDraftingitemheading"/>
        <w:rPr>
          <w:b w:val="0"/>
          <w:lang w:bidi="en-US"/>
        </w:rPr>
      </w:pPr>
      <w:r w:rsidRPr="0097412A">
        <w:rPr>
          <w:lang w:bidi="en-US"/>
        </w:rPr>
        <w:t>[1]</w:t>
      </w:r>
      <w:r w:rsidRPr="0097412A">
        <w:rPr>
          <w:lang w:bidi="en-US"/>
        </w:rPr>
        <w:tab/>
      </w:r>
      <w:r>
        <w:rPr>
          <w:lang w:bidi="en-US"/>
        </w:rPr>
        <w:t xml:space="preserve">Standard 1.3.2 </w:t>
      </w:r>
      <w:r>
        <w:rPr>
          <w:b w:val="0"/>
          <w:lang w:bidi="en-US"/>
        </w:rPr>
        <w:t>is varied by inserting after section 1.3.2—7</w:t>
      </w:r>
    </w:p>
    <w:p w14:paraId="7313723B" w14:textId="157170A3" w:rsidR="00033970" w:rsidRDefault="00033970" w:rsidP="00033970">
      <w:pPr>
        <w:pStyle w:val="FSCh5Section"/>
        <w:rPr>
          <w:lang w:bidi="en-US"/>
        </w:rPr>
      </w:pPr>
      <w:r>
        <w:rPr>
          <w:lang w:bidi="en-US"/>
        </w:rPr>
        <w:t>1.3.2—8</w:t>
      </w:r>
      <w:r>
        <w:rPr>
          <w:lang w:bidi="en-US"/>
        </w:rPr>
        <w:tab/>
      </w:r>
      <w:r w:rsidRPr="007860AC">
        <w:rPr>
          <w:lang w:bidi="en-US"/>
        </w:rPr>
        <w:t xml:space="preserve">Use of </w:t>
      </w:r>
      <w:r w:rsidR="00C51634">
        <w:rPr>
          <w:lang w:bidi="en-US"/>
        </w:rPr>
        <w:t>s</w:t>
      </w:r>
      <w:r w:rsidR="00C51634" w:rsidRPr="007860AC">
        <w:rPr>
          <w:lang w:bidi="en-US"/>
        </w:rPr>
        <w:t xml:space="preserve">oy </w:t>
      </w:r>
      <w:r w:rsidRPr="007860AC">
        <w:rPr>
          <w:lang w:bidi="en-US"/>
        </w:rPr>
        <w:t>leghemoglobin as a nutritive substance</w:t>
      </w:r>
    </w:p>
    <w:p w14:paraId="4C12430F" w14:textId="04AF5B61" w:rsidR="00033970" w:rsidRDefault="00033970" w:rsidP="00033970">
      <w:pPr>
        <w:pStyle w:val="FSCtMain"/>
        <w:rPr>
          <w:lang w:bidi="en-US"/>
        </w:rPr>
      </w:pPr>
      <w:r>
        <w:rPr>
          <w:lang w:bidi="en-US"/>
        </w:rPr>
        <w:tab/>
        <w:t>(1)</w:t>
      </w:r>
      <w:r>
        <w:rPr>
          <w:lang w:bidi="en-US"/>
        </w:rPr>
        <w:tab/>
      </w:r>
      <w:r w:rsidRPr="00551889">
        <w:rPr>
          <w:lang w:bidi="en-US"/>
        </w:rPr>
        <w:t xml:space="preserve">Iron in the form of </w:t>
      </w:r>
      <w:r w:rsidR="00A9218D">
        <w:rPr>
          <w:lang w:bidi="en-US"/>
        </w:rPr>
        <w:t>s</w:t>
      </w:r>
      <w:r w:rsidR="00A9218D" w:rsidRPr="00551889">
        <w:rPr>
          <w:lang w:bidi="en-US"/>
        </w:rPr>
        <w:t xml:space="preserve">oy </w:t>
      </w:r>
      <w:r w:rsidRPr="00551889">
        <w:rPr>
          <w:lang w:bidi="en-US"/>
        </w:rPr>
        <w:t>leghemoglobin must not be used as a nutritive substance in a food other than a meat analogue product to which section S17—4 applies</w:t>
      </w:r>
      <w:r w:rsidRPr="004C4D2E">
        <w:rPr>
          <w:lang w:bidi="en-US"/>
        </w:rPr>
        <w:t>.</w:t>
      </w:r>
    </w:p>
    <w:p w14:paraId="73A37994" w14:textId="6471EC5A" w:rsidR="00033970" w:rsidRDefault="00033970" w:rsidP="00033970">
      <w:pPr>
        <w:pStyle w:val="FSCtMain"/>
        <w:rPr>
          <w:lang w:bidi="en-US"/>
        </w:rPr>
      </w:pPr>
      <w:r>
        <w:rPr>
          <w:lang w:bidi="en-US"/>
        </w:rPr>
        <w:tab/>
        <w:t>(2)</w:t>
      </w:r>
      <w:r>
        <w:rPr>
          <w:lang w:bidi="en-US"/>
        </w:rPr>
        <w:tab/>
        <w:t xml:space="preserve">For the purposes of subsection (1), </w:t>
      </w:r>
      <w:r w:rsidR="00A9218D">
        <w:rPr>
          <w:lang w:bidi="en-US"/>
        </w:rPr>
        <w:t>s</w:t>
      </w:r>
      <w:r w:rsidR="00A9218D" w:rsidRPr="007860AC">
        <w:rPr>
          <w:lang w:bidi="en-US"/>
        </w:rPr>
        <w:t xml:space="preserve">oy </w:t>
      </w:r>
      <w:r w:rsidRPr="007860AC">
        <w:rPr>
          <w:lang w:bidi="en-US"/>
        </w:rPr>
        <w:t xml:space="preserve">leghemoglobin </w:t>
      </w:r>
      <w:r>
        <w:rPr>
          <w:lang w:bidi="en-US"/>
        </w:rPr>
        <w:t>m</w:t>
      </w:r>
      <w:r w:rsidRPr="00615E7E">
        <w:rPr>
          <w:lang w:bidi="en-US"/>
        </w:rPr>
        <w:t xml:space="preserve">ust not be present in a meat analogue product </w:t>
      </w:r>
      <w:r>
        <w:rPr>
          <w:lang w:bidi="en-US"/>
        </w:rPr>
        <w:t xml:space="preserve">in its raw state </w:t>
      </w:r>
      <w:r w:rsidRPr="00615E7E">
        <w:rPr>
          <w:lang w:bidi="en-US"/>
        </w:rPr>
        <w:t>at a concentration greater than 0.8%.</w:t>
      </w:r>
      <w:r>
        <w:rPr>
          <w:lang w:bidi="en-US"/>
        </w:rPr>
        <w:tab/>
      </w:r>
    </w:p>
    <w:p w14:paraId="617C0884" w14:textId="77777777" w:rsidR="00033970" w:rsidRPr="0097412A" w:rsidRDefault="00033970" w:rsidP="00033970">
      <w:pPr>
        <w:pStyle w:val="FSCDraftingitemheading"/>
      </w:pPr>
      <w:r>
        <w:rPr>
          <w:lang w:bidi="en-US"/>
        </w:rPr>
        <w:t>[2]</w:t>
      </w:r>
      <w:r>
        <w:rPr>
          <w:lang w:bidi="en-US"/>
        </w:rPr>
        <w:tab/>
      </w:r>
      <w:r w:rsidRPr="0097412A">
        <w:rPr>
          <w:lang w:bidi="en-US"/>
        </w:rPr>
        <w:t xml:space="preserve">Schedule </w:t>
      </w:r>
      <w:r>
        <w:rPr>
          <w:lang w:bidi="en-US"/>
        </w:rPr>
        <w:t>3</w:t>
      </w:r>
      <w:r w:rsidRPr="0097412A">
        <w:rPr>
          <w:lang w:bidi="en-US"/>
        </w:rPr>
        <w:t xml:space="preserve"> </w:t>
      </w:r>
      <w:r w:rsidRPr="00C4571C">
        <w:rPr>
          <w:b w:val="0"/>
          <w:lang w:bidi="en-US"/>
        </w:rPr>
        <w:t>is varied by</w:t>
      </w:r>
      <w:r w:rsidRPr="0097412A">
        <w:t xml:space="preserve"> </w:t>
      </w:r>
    </w:p>
    <w:p w14:paraId="6E5FA391" w14:textId="41F98D13" w:rsidR="00033970" w:rsidRPr="00A36D53" w:rsidRDefault="00033970" w:rsidP="00033970">
      <w:pPr>
        <w:pStyle w:val="FSCDraftingitem"/>
      </w:pPr>
      <w:r w:rsidRPr="0097412A">
        <w:t>[</w:t>
      </w:r>
      <w:r>
        <w:t>2</w:t>
      </w:r>
      <w:r w:rsidRPr="0097412A">
        <w:t>.1]</w:t>
      </w:r>
      <w:r w:rsidRPr="0097412A">
        <w:tab/>
      </w:r>
      <w:r w:rsidRPr="00A605C6">
        <w:t>omitting from Note 1</w:t>
      </w:r>
      <w:r>
        <w:t xml:space="preserve"> </w:t>
      </w:r>
      <w:r w:rsidRPr="00A605C6">
        <w:t>the words ‘Section 1.1.1—15 requires’, substituting ‘</w:t>
      </w:r>
      <w:r w:rsidRPr="00A14EBB">
        <w:t>Sections 1.1.1—15 and S26—</w:t>
      </w:r>
      <w:r w:rsidR="007A2BE6" w:rsidRPr="00A14EBB">
        <w:t>3</w:t>
      </w:r>
      <w:r w:rsidR="007A2BE6" w:rsidRPr="00A605C6">
        <w:t xml:space="preserve"> </w:t>
      </w:r>
      <w:r w:rsidRPr="00A605C6">
        <w:t>require’</w:t>
      </w:r>
    </w:p>
    <w:p w14:paraId="6612D5EE" w14:textId="77777777" w:rsidR="00033970" w:rsidRDefault="00033970" w:rsidP="00033970">
      <w:pPr>
        <w:pStyle w:val="FSCDraftingitem"/>
        <w:rPr>
          <w:lang w:bidi="en-US"/>
        </w:rPr>
      </w:pPr>
      <w:r>
        <w:t>[2.2]</w:t>
      </w:r>
      <w:r>
        <w:tab/>
      </w:r>
      <w:r>
        <w:rPr>
          <w:lang w:bidi="en-US"/>
        </w:rPr>
        <w:t xml:space="preserve">inserting in the table to subsection </w:t>
      </w:r>
      <w:r>
        <w:t>S3—2</w:t>
      </w:r>
      <w:r>
        <w:rPr>
          <w:lang w:bidi="en-US"/>
        </w:rPr>
        <w:t>(2) in alphabetical order</w:t>
      </w:r>
    </w:p>
    <w:tbl>
      <w:tblPr>
        <w:tblStyle w:val="TableGrid5"/>
        <w:tblW w:w="660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ired by inserting '2′-O-fucosyllactose' in the table in subsection S3-2(2) in alphabetical order."/>
      </w:tblPr>
      <w:tblGrid>
        <w:gridCol w:w="4128"/>
        <w:gridCol w:w="2474"/>
      </w:tblGrid>
      <w:tr w:rsidR="00033970" w:rsidRPr="000A329E" w14:paraId="1852B54C" w14:textId="77777777" w:rsidTr="000A328B">
        <w:trPr>
          <w:cantSplit/>
          <w:trHeight w:val="264"/>
          <w:jc w:val="center"/>
        </w:trPr>
        <w:tc>
          <w:tcPr>
            <w:tcW w:w="4128" w:type="dxa"/>
            <w:hideMark/>
          </w:tcPr>
          <w:p w14:paraId="7BA5E6CC" w14:textId="06648C9F" w:rsidR="00033970" w:rsidRPr="000A329E" w:rsidRDefault="00A9218D" w:rsidP="000A328B">
            <w:pPr>
              <w:pStyle w:val="FSCtblMain"/>
            </w:pPr>
            <w:r>
              <w:t>s</w:t>
            </w:r>
            <w:r w:rsidRPr="000A329E">
              <w:t xml:space="preserve">oy </w:t>
            </w:r>
            <w:r w:rsidR="00033970" w:rsidRPr="000A329E">
              <w:t>leghemoglobin preparation</w:t>
            </w:r>
          </w:p>
        </w:tc>
        <w:tc>
          <w:tcPr>
            <w:tcW w:w="2474" w:type="dxa"/>
            <w:hideMark/>
          </w:tcPr>
          <w:p w14:paraId="26940A0F" w14:textId="77777777" w:rsidR="00033970" w:rsidRPr="000A329E" w:rsidRDefault="00033970" w:rsidP="000A328B">
            <w:pPr>
              <w:pStyle w:val="FSCtblMain"/>
            </w:pPr>
            <w:r w:rsidRPr="000A329E">
              <w:t>section S3—42</w:t>
            </w:r>
          </w:p>
        </w:tc>
      </w:tr>
    </w:tbl>
    <w:p w14:paraId="3801E1E7" w14:textId="77777777" w:rsidR="00033970" w:rsidRDefault="00033970" w:rsidP="00033970">
      <w:pPr>
        <w:pStyle w:val="FSCDraftingitem"/>
      </w:pPr>
      <w:r>
        <w:t>[2.3]</w:t>
      </w:r>
      <w:r>
        <w:tab/>
      </w:r>
      <w:r w:rsidRPr="00D4700C">
        <w:t>inserting after section S3—</w:t>
      </w:r>
      <w:r>
        <w:t>41</w:t>
      </w:r>
    </w:p>
    <w:p w14:paraId="3B4424B9" w14:textId="77777777" w:rsidR="00033970" w:rsidRDefault="00033970" w:rsidP="00033970">
      <w:pPr>
        <w:pStyle w:val="FSCh5Section"/>
        <w:rPr>
          <w:szCs w:val="22"/>
        </w:rPr>
      </w:pPr>
      <w:r w:rsidRPr="000A329E">
        <w:rPr>
          <w:szCs w:val="22"/>
        </w:rPr>
        <w:t>S3—42</w:t>
      </w:r>
      <w:r w:rsidRPr="000A329E">
        <w:rPr>
          <w:szCs w:val="22"/>
        </w:rPr>
        <w:tab/>
        <w:t>Specification for a soy leghemoglobin preparation</w:t>
      </w:r>
    </w:p>
    <w:p w14:paraId="1DC55AEE" w14:textId="77777777" w:rsidR="005E1CB3" w:rsidRDefault="00033970" w:rsidP="005E1CB3">
      <w:pPr>
        <w:pStyle w:val="FSCnMain"/>
        <w:rPr>
          <w:rFonts w:eastAsia="Calibri"/>
          <w:iCs/>
          <w:sz w:val="20"/>
        </w:rPr>
      </w:pPr>
      <w:r w:rsidRPr="001D1563">
        <w:tab/>
      </w:r>
      <w:r w:rsidRPr="001D1563">
        <w:rPr>
          <w:b/>
          <w:i/>
        </w:rPr>
        <w:t>Note</w:t>
      </w:r>
      <w:r w:rsidRPr="001D1563">
        <w:t xml:space="preserve"> </w:t>
      </w:r>
      <w:r w:rsidRPr="001D1563">
        <w:tab/>
      </w:r>
      <w:r w:rsidRPr="00141676">
        <w:rPr>
          <w:szCs w:val="16"/>
        </w:rPr>
        <w:t>Subsection</w:t>
      </w:r>
      <w:r>
        <w:rPr>
          <w:szCs w:val="16"/>
        </w:rPr>
        <w:t>s</w:t>
      </w:r>
      <w:r w:rsidRPr="00141676">
        <w:rPr>
          <w:szCs w:val="16"/>
        </w:rPr>
        <w:t xml:space="preserve"> </w:t>
      </w:r>
      <w:r w:rsidRPr="00141676">
        <w:rPr>
          <w:szCs w:val="16"/>
          <w:lang w:bidi="en-US"/>
        </w:rPr>
        <w:t>S</w:t>
      </w:r>
      <w:r w:rsidRPr="00141676">
        <w:rPr>
          <w:szCs w:val="16"/>
        </w:rPr>
        <w:t>26—3</w:t>
      </w:r>
      <w:r>
        <w:rPr>
          <w:szCs w:val="16"/>
        </w:rPr>
        <w:t xml:space="preserve">(5) and </w:t>
      </w:r>
      <w:r w:rsidRPr="00141676">
        <w:rPr>
          <w:szCs w:val="16"/>
        </w:rPr>
        <w:t>(7)</w:t>
      </w:r>
      <w:r>
        <w:rPr>
          <w:szCs w:val="16"/>
        </w:rPr>
        <w:t xml:space="preserve"> require</w:t>
      </w:r>
      <w:r w:rsidRPr="00141676">
        <w:rPr>
          <w:szCs w:val="16"/>
        </w:rPr>
        <w:t xml:space="preserve"> a soy leghemoglobin preparation to comply with </w:t>
      </w:r>
      <w:r w:rsidRPr="00141676">
        <w:rPr>
          <w:rFonts w:eastAsia="Calibri"/>
          <w:szCs w:val="16"/>
        </w:rPr>
        <w:t xml:space="preserve">the specifications set out in </w:t>
      </w:r>
      <w:r>
        <w:rPr>
          <w:rFonts w:eastAsia="Calibri"/>
          <w:szCs w:val="16"/>
        </w:rPr>
        <w:t>this section</w:t>
      </w:r>
      <w:r>
        <w:rPr>
          <w:szCs w:val="16"/>
        </w:rPr>
        <w:t>.</w:t>
      </w:r>
      <w:r w:rsidR="005E1CB3" w:rsidRPr="003422CC">
        <w:rPr>
          <w:rFonts w:eastAsia="Calibri"/>
          <w:iCs/>
          <w:sz w:val="20"/>
        </w:rPr>
        <w:t xml:space="preserve"> </w:t>
      </w:r>
    </w:p>
    <w:p w14:paraId="3136AE98" w14:textId="2D720F72" w:rsidR="00033970" w:rsidRPr="003422CC" w:rsidRDefault="00033970" w:rsidP="005E1CB3">
      <w:pPr>
        <w:pStyle w:val="FSCnMain"/>
        <w:rPr>
          <w:sz w:val="20"/>
          <w:lang w:val="en-US" w:eastAsia="en-GB"/>
        </w:rPr>
      </w:pPr>
      <w:r>
        <w:rPr>
          <w:b/>
          <w:i/>
        </w:rPr>
        <w:tab/>
      </w:r>
      <w:r w:rsidRPr="003422CC">
        <w:rPr>
          <w:rFonts w:eastAsia="Calibri"/>
          <w:iCs/>
          <w:sz w:val="20"/>
        </w:rPr>
        <w:t xml:space="preserve">For a </w:t>
      </w:r>
      <w:r w:rsidRPr="003422CC">
        <w:rPr>
          <w:rFonts w:eastAsia="Calibri"/>
          <w:sz w:val="20"/>
        </w:rPr>
        <w:t>soy leghemoglobin preparation, the</w:t>
      </w:r>
      <w:r w:rsidRPr="003422CC">
        <w:rPr>
          <w:rFonts w:eastAsia="Calibri"/>
          <w:iCs/>
          <w:sz w:val="20"/>
        </w:rPr>
        <w:t xml:space="preserve"> </w:t>
      </w:r>
      <w:r w:rsidRPr="003422CC">
        <w:rPr>
          <w:sz w:val="20"/>
        </w:rPr>
        <w:t>specifications are the following:</w:t>
      </w:r>
      <w:r w:rsidRPr="003422CC">
        <w:rPr>
          <w:rFonts w:ascii="Times New Roman" w:hAnsi="Times New Roman"/>
          <w:sz w:val="20"/>
          <w:lang w:val="en-AU" w:eastAsia="en-GB"/>
        </w:rPr>
        <w:t xml:space="preserve"> </w:t>
      </w:r>
    </w:p>
    <w:p w14:paraId="19D4C800" w14:textId="77777777" w:rsidR="00033970" w:rsidRPr="003422CC" w:rsidRDefault="00033970" w:rsidP="009B3571">
      <w:pPr>
        <w:pStyle w:val="FSCtPara"/>
        <w:numPr>
          <w:ilvl w:val="0"/>
          <w:numId w:val="22"/>
        </w:numPr>
        <w:rPr>
          <w:rFonts w:eastAsia="Calibri"/>
          <w:szCs w:val="20"/>
        </w:rPr>
      </w:pPr>
      <w:r w:rsidRPr="003422CC">
        <w:rPr>
          <w:rFonts w:eastAsia="Calibri"/>
          <w:szCs w:val="20"/>
        </w:rPr>
        <w:t>soy leghemoglobin protein—maximum 9.0%;</w:t>
      </w:r>
    </w:p>
    <w:p w14:paraId="1309661E" w14:textId="77777777" w:rsidR="00033970" w:rsidRPr="003422CC" w:rsidRDefault="00033970" w:rsidP="009B3571">
      <w:pPr>
        <w:pStyle w:val="FSCtPara"/>
        <w:numPr>
          <w:ilvl w:val="0"/>
          <w:numId w:val="22"/>
        </w:numPr>
        <w:rPr>
          <w:rFonts w:eastAsia="Calibri"/>
          <w:szCs w:val="20"/>
        </w:rPr>
      </w:pPr>
      <w:r w:rsidRPr="003422CC">
        <w:rPr>
          <w:rFonts w:eastAsia="Calibri"/>
          <w:szCs w:val="20"/>
        </w:rPr>
        <w:t>soy leghemoglobin protein purity—minimum 65%;</w:t>
      </w:r>
    </w:p>
    <w:p w14:paraId="6A9F56A0" w14:textId="77777777" w:rsidR="00033970" w:rsidRPr="000A329E" w:rsidRDefault="00033970" w:rsidP="009B3571">
      <w:pPr>
        <w:pStyle w:val="FSCtPara"/>
        <w:numPr>
          <w:ilvl w:val="0"/>
          <w:numId w:val="22"/>
        </w:numPr>
        <w:rPr>
          <w:rFonts w:eastAsia="Calibri"/>
          <w:szCs w:val="20"/>
        </w:rPr>
      </w:pPr>
      <w:r w:rsidRPr="003422CC">
        <w:rPr>
          <w:rFonts w:eastAsia="Calibri"/>
          <w:szCs w:val="20"/>
        </w:rPr>
        <w:t>appearance—dark red concentrated</w:t>
      </w:r>
      <w:r w:rsidRPr="000A329E">
        <w:rPr>
          <w:rFonts w:eastAsia="Calibri"/>
          <w:szCs w:val="20"/>
        </w:rPr>
        <w:t xml:space="preserve"> liquid;</w:t>
      </w:r>
    </w:p>
    <w:p w14:paraId="7DCB2E22" w14:textId="77777777" w:rsidR="00033970" w:rsidRPr="000A329E" w:rsidRDefault="00033970" w:rsidP="009B3571">
      <w:pPr>
        <w:pStyle w:val="FSCtPara"/>
        <w:numPr>
          <w:ilvl w:val="0"/>
          <w:numId w:val="22"/>
        </w:numPr>
        <w:rPr>
          <w:rFonts w:eastAsia="Calibri"/>
          <w:szCs w:val="20"/>
        </w:rPr>
      </w:pPr>
      <w:r w:rsidRPr="000A329E">
        <w:rPr>
          <w:rFonts w:eastAsia="Calibri"/>
          <w:szCs w:val="20"/>
        </w:rPr>
        <w:t>solids— maximum 26%;</w:t>
      </w:r>
    </w:p>
    <w:p w14:paraId="76B5D1C6" w14:textId="77777777" w:rsidR="00033970" w:rsidRPr="000A329E" w:rsidRDefault="00033970" w:rsidP="009B3571">
      <w:pPr>
        <w:pStyle w:val="FSCtPara"/>
        <w:numPr>
          <w:ilvl w:val="0"/>
          <w:numId w:val="22"/>
        </w:numPr>
        <w:rPr>
          <w:rFonts w:eastAsia="Calibri"/>
          <w:szCs w:val="20"/>
        </w:rPr>
      </w:pPr>
      <w:r w:rsidRPr="000A329E">
        <w:rPr>
          <w:rFonts w:eastAsia="Calibri"/>
          <w:szCs w:val="20"/>
        </w:rPr>
        <w:t>fat—maximum 2.0%;</w:t>
      </w:r>
    </w:p>
    <w:p w14:paraId="383D89D9" w14:textId="77777777" w:rsidR="00033970" w:rsidRPr="000A329E" w:rsidRDefault="00033970" w:rsidP="009B3571">
      <w:pPr>
        <w:pStyle w:val="FSCtPara"/>
        <w:numPr>
          <w:ilvl w:val="0"/>
          <w:numId w:val="22"/>
        </w:numPr>
        <w:rPr>
          <w:rFonts w:eastAsia="Calibri"/>
          <w:szCs w:val="20"/>
        </w:rPr>
      </w:pPr>
      <w:r w:rsidRPr="000A329E">
        <w:rPr>
          <w:rFonts w:eastAsia="Calibri"/>
          <w:szCs w:val="20"/>
        </w:rPr>
        <w:t>carbohydrate—maximum 6.0%;</w:t>
      </w:r>
    </w:p>
    <w:p w14:paraId="2BDE197B" w14:textId="77777777" w:rsidR="00033970" w:rsidRPr="000A329E" w:rsidRDefault="00033970" w:rsidP="009B3571">
      <w:pPr>
        <w:pStyle w:val="FSCtPara"/>
        <w:numPr>
          <w:ilvl w:val="0"/>
          <w:numId w:val="22"/>
        </w:numPr>
        <w:rPr>
          <w:rFonts w:eastAsia="Calibri"/>
          <w:szCs w:val="20"/>
        </w:rPr>
      </w:pPr>
      <w:r w:rsidRPr="000A329E">
        <w:rPr>
          <w:rFonts w:eastAsia="Calibri"/>
          <w:szCs w:val="20"/>
        </w:rPr>
        <w:t>pH—5-10;</w:t>
      </w:r>
    </w:p>
    <w:p w14:paraId="028460C0" w14:textId="77777777" w:rsidR="00033970" w:rsidRPr="000A329E" w:rsidRDefault="00033970" w:rsidP="009B3571">
      <w:pPr>
        <w:pStyle w:val="FSCtPara"/>
        <w:numPr>
          <w:ilvl w:val="0"/>
          <w:numId w:val="22"/>
        </w:numPr>
        <w:rPr>
          <w:rFonts w:eastAsia="Calibri"/>
          <w:szCs w:val="20"/>
        </w:rPr>
      </w:pPr>
      <w:r w:rsidRPr="000A329E">
        <w:rPr>
          <w:rFonts w:eastAsia="Calibri"/>
          <w:szCs w:val="20"/>
        </w:rPr>
        <w:t>moisture—maximum 90%;</w:t>
      </w:r>
    </w:p>
    <w:p w14:paraId="2B8049CB" w14:textId="77777777" w:rsidR="00033970" w:rsidRPr="000A329E" w:rsidRDefault="00033970" w:rsidP="009B3571">
      <w:pPr>
        <w:pStyle w:val="FSCtPara"/>
        <w:numPr>
          <w:ilvl w:val="0"/>
          <w:numId w:val="22"/>
        </w:numPr>
        <w:rPr>
          <w:rFonts w:eastAsia="Calibri"/>
          <w:szCs w:val="20"/>
        </w:rPr>
      </w:pPr>
      <w:r w:rsidRPr="000A329E">
        <w:rPr>
          <w:rFonts w:eastAsia="Calibri"/>
          <w:szCs w:val="20"/>
        </w:rPr>
        <w:t>ash—maximum 4.0%;</w:t>
      </w:r>
    </w:p>
    <w:p w14:paraId="739BB262" w14:textId="77777777" w:rsidR="00033970" w:rsidRPr="000A329E" w:rsidRDefault="00033970" w:rsidP="009B3571">
      <w:pPr>
        <w:pStyle w:val="FSCtPara"/>
        <w:numPr>
          <w:ilvl w:val="0"/>
          <w:numId w:val="22"/>
        </w:numPr>
        <w:rPr>
          <w:rFonts w:eastAsia="Calibri"/>
          <w:szCs w:val="20"/>
        </w:rPr>
      </w:pPr>
      <w:r w:rsidRPr="000A329E">
        <w:rPr>
          <w:rFonts w:eastAsia="Calibri"/>
          <w:szCs w:val="20"/>
        </w:rPr>
        <w:t>lead—maximum 0.4 mg/kg;</w:t>
      </w:r>
    </w:p>
    <w:p w14:paraId="37174EF1" w14:textId="77777777" w:rsidR="00033970" w:rsidRPr="000A329E" w:rsidRDefault="00033970" w:rsidP="009B3571">
      <w:pPr>
        <w:pStyle w:val="FSCtPara"/>
        <w:numPr>
          <w:ilvl w:val="0"/>
          <w:numId w:val="22"/>
        </w:numPr>
        <w:rPr>
          <w:rFonts w:eastAsia="Calibri"/>
          <w:szCs w:val="20"/>
        </w:rPr>
      </w:pPr>
      <w:r w:rsidRPr="000A329E">
        <w:rPr>
          <w:rFonts w:eastAsia="Calibri"/>
          <w:szCs w:val="20"/>
        </w:rPr>
        <w:t>arsenic—maximum 0.05 mg/kg;</w:t>
      </w:r>
    </w:p>
    <w:p w14:paraId="143C386A" w14:textId="77777777" w:rsidR="00033970" w:rsidRPr="000A329E" w:rsidRDefault="00033970" w:rsidP="009B3571">
      <w:pPr>
        <w:pStyle w:val="FSCtPara"/>
        <w:numPr>
          <w:ilvl w:val="0"/>
          <w:numId w:val="22"/>
        </w:numPr>
        <w:rPr>
          <w:rFonts w:eastAsia="Calibri"/>
          <w:szCs w:val="20"/>
        </w:rPr>
      </w:pPr>
      <w:r w:rsidRPr="000A329E">
        <w:rPr>
          <w:rFonts w:eastAsia="Calibri"/>
          <w:szCs w:val="20"/>
        </w:rPr>
        <w:t>mercury—maximum 0.05 mg/kg;</w:t>
      </w:r>
    </w:p>
    <w:p w14:paraId="654CEB36" w14:textId="77777777" w:rsidR="00033970" w:rsidRPr="000A329E" w:rsidRDefault="00033970" w:rsidP="009B3571">
      <w:pPr>
        <w:pStyle w:val="FSCtPara"/>
        <w:numPr>
          <w:ilvl w:val="0"/>
          <w:numId w:val="22"/>
        </w:numPr>
        <w:rPr>
          <w:rFonts w:eastAsia="Calibri"/>
          <w:szCs w:val="20"/>
        </w:rPr>
      </w:pPr>
      <w:r w:rsidRPr="000A329E">
        <w:rPr>
          <w:rFonts w:eastAsia="Calibri"/>
          <w:szCs w:val="20"/>
        </w:rPr>
        <w:t>cadmium—maximum 0.2 mg/kg;</w:t>
      </w:r>
    </w:p>
    <w:p w14:paraId="52E85301" w14:textId="77777777" w:rsidR="00033970" w:rsidRPr="000A329E" w:rsidRDefault="00033970" w:rsidP="009B3571">
      <w:pPr>
        <w:pStyle w:val="FSCtPara"/>
        <w:numPr>
          <w:ilvl w:val="0"/>
          <w:numId w:val="22"/>
        </w:numPr>
        <w:rPr>
          <w:rFonts w:eastAsia="Calibri"/>
          <w:szCs w:val="20"/>
        </w:rPr>
      </w:pPr>
      <w:r w:rsidRPr="000A329E">
        <w:rPr>
          <w:rFonts w:eastAsia="Calibri"/>
          <w:szCs w:val="20"/>
        </w:rPr>
        <w:t>microbiological:</w:t>
      </w:r>
    </w:p>
    <w:p w14:paraId="35C525C8" w14:textId="77777777" w:rsidR="00033970" w:rsidRPr="000A329E" w:rsidRDefault="00033970" w:rsidP="00033970">
      <w:pPr>
        <w:pStyle w:val="FSCtSubpara"/>
        <w:rPr>
          <w:szCs w:val="20"/>
        </w:rPr>
      </w:pPr>
      <w:r w:rsidRPr="000A329E">
        <w:rPr>
          <w:rFonts w:eastAsia="Calibri"/>
          <w:szCs w:val="20"/>
        </w:rPr>
        <w:tab/>
        <w:t xml:space="preserve">(i) </w:t>
      </w:r>
      <w:r w:rsidRPr="000A329E">
        <w:rPr>
          <w:rFonts w:eastAsia="Calibri"/>
          <w:szCs w:val="20"/>
        </w:rPr>
        <w:tab/>
      </w:r>
      <w:r w:rsidRPr="000A329E">
        <w:rPr>
          <w:i/>
          <w:szCs w:val="20"/>
        </w:rPr>
        <w:t>Escherichia coli</w:t>
      </w:r>
      <w:r w:rsidRPr="000A329E">
        <w:rPr>
          <w:szCs w:val="20"/>
        </w:rPr>
        <w:t xml:space="preserve">—negative to test; </w:t>
      </w:r>
    </w:p>
    <w:p w14:paraId="67472A05" w14:textId="77777777" w:rsidR="00033970" w:rsidRPr="000A329E" w:rsidRDefault="00033970" w:rsidP="00033970">
      <w:pPr>
        <w:pStyle w:val="FSCtSubpara"/>
        <w:rPr>
          <w:szCs w:val="20"/>
        </w:rPr>
      </w:pPr>
      <w:r w:rsidRPr="000A329E">
        <w:rPr>
          <w:szCs w:val="20"/>
        </w:rPr>
        <w:tab/>
        <w:t>(ii)</w:t>
      </w:r>
      <w:r w:rsidRPr="000A329E">
        <w:rPr>
          <w:szCs w:val="20"/>
        </w:rPr>
        <w:tab/>
      </w:r>
      <w:r w:rsidRPr="000A329E">
        <w:rPr>
          <w:i/>
          <w:szCs w:val="20"/>
        </w:rPr>
        <w:t>Salmonella spp</w:t>
      </w:r>
      <w:r w:rsidRPr="000A329E">
        <w:rPr>
          <w:szCs w:val="20"/>
        </w:rPr>
        <w:t xml:space="preserve">.—negative to test; </w:t>
      </w:r>
    </w:p>
    <w:p w14:paraId="3023DCC8" w14:textId="77777777" w:rsidR="00033970" w:rsidRPr="00141676" w:rsidRDefault="00033970" w:rsidP="00033970">
      <w:pPr>
        <w:pStyle w:val="FSCtSubpara"/>
        <w:rPr>
          <w:szCs w:val="20"/>
        </w:rPr>
      </w:pPr>
      <w:r w:rsidRPr="000A329E">
        <w:rPr>
          <w:szCs w:val="20"/>
        </w:rPr>
        <w:tab/>
        <w:t>(iii)</w:t>
      </w:r>
      <w:r w:rsidRPr="000A329E">
        <w:rPr>
          <w:szCs w:val="20"/>
        </w:rPr>
        <w:tab/>
        <w:t>Listeria monocytogenes—negative to test.</w:t>
      </w:r>
    </w:p>
    <w:p w14:paraId="6AD9ABC3" w14:textId="77777777" w:rsidR="00033970" w:rsidRPr="00D1467B" w:rsidRDefault="00033970" w:rsidP="00033970">
      <w:pPr>
        <w:pStyle w:val="FSCDraftingitemheading"/>
        <w:rPr>
          <w:rFonts w:eastAsia="Calibri"/>
        </w:rPr>
      </w:pPr>
      <w:r>
        <w:rPr>
          <w:lang w:bidi="en-US"/>
        </w:rPr>
        <w:t>[3]</w:t>
      </w:r>
      <w:r>
        <w:rPr>
          <w:lang w:bidi="en-US"/>
        </w:rPr>
        <w:tab/>
      </w:r>
      <w:r w:rsidRPr="0097412A">
        <w:rPr>
          <w:lang w:bidi="en-US"/>
        </w:rPr>
        <w:t xml:space="preserve">Schedule </w:t>
      </w:r>
      <w:r>
        <w:rPr>
          <w:lang w:bidi="en-US"/>
        </w:rPr>
        <w:t>17</w:t>
      </w:r>
      <w:r w:rsidRPr="0097412A">
        <w:rPr>
          <w:lang w:bidi="en-US"/>
        </w:rPr>
        <w:t xml:space="preserve"> </w:t>
      </w:r>
      <w:r w:rsidRPr="00C4571C">
        <w:rPr>
          <w:b w:val="0"/>
          <w:lang w:bidi="en-US"/>
        </w:rPr>
        <w:t>is varied by</w:t>
      </w:r>
      <w:r w:rsidRPr="0097412A">
        <w:t xml:space="preserve"> </w:t>
      </w:r>
    </w:p>
    <w:p w14:paraId="3B9F4024" w14:textId="77777777" w:rsidR="00033970" w:rsidRDefault="00033970" w:rsidP="00033970">
      <w:pPr>
        <w:pStyle w:val="FSCDraftingitem"/>
      </w:pPr>
      <w:r>
        <w:t>[3.1]</w:t>
      </w:r>
      <w:r>
        <w:tab/>
        <w:t>inserting in Column 2 of the table to section S17—3 for the mineral ‘Iron’, in alphabetical order</w:t>
      </w:r>
    </w:p>
    <w:p w14:paraId="676C78EC" w14:textId="77777777" w:rsidR="00033970" w:rsidRPr="00D1467B" w:rsidRDefault="00033970" w:rsidP="00033970">
      <w:pPr>
        <w:pStyle w:val="FSCtblMain"/>
        <w:ind w:left="3969"/>
      </w:pPr>
      <w:r w:rsidRPr="00D1467B">
        <w:t>Soy leghemoglobin in a soy leghemoglobin preparation that is listed in Schedule 26 and complies with any corresponding conditions listed in that Schedule.</w:t>
      </w:r>
    </w:p>
    <w:p w14:paraId="4767D964" w14:textId="77777777" w:rsidR="00033970" w:rsidRDefault="00033970" w:rsidP="00033970">
      <w:pPr>
        <w:pStyle w:val="FSCtblMainC"/>
        <w:jc w:val="left"/>
      </w:pPr>
    </w:p>
    <w:p w14:paraId="760B9B21" w14:textId="77777777" w:rsidR="00033970" w:rsidRDefault="00033970" w:rsidP="00033970">
      <w:pPr>
        <w:pStyle w:val="FSCDraftingitem"/>
      </w:pPr>
      <w:r>
        <w:t>[3.2]</w:t>
      </w:r>
      <w:r>
        <w:tab/>
        <w:t>omitting from the table to section S17—4, under the heading ‘Analogues derived from legumes’</w:t>
      </w:r>
    </w:p>
    <w:p w14:paraId="364B3DF8" w14:textId="77777777" w:rsidR="00033970" w:rsidRPr="00406D0B" w:rsidRDefault="00033970" w:rsidP="00033970">
      <w:pPr>
        <w:pStyle w:val="FSCtblMain"/>
        <w:rPr>
          <w:rFonts w:eastAsiaTheme="minorHAnsi"/>
          <w:i/>
          <w:szCs w:val="22"/>
          <w:lang w:val="en-AU" w:eastAsia="en-US"/>
        </w:rPr>
      </w:pPr>
      <w:r w:rsidRPr="00406D0B">
        <w:rPr>
          <w:rFonts w:eastAsiaTheme="minorHAnsi"/>
          <w:i/>
          <w:szCs w:val="22"/>
          <w:lang w:val="en-AU" w:eastAsia="en-US"/>
        </w:rPr>
        <w:lastRenderedPageBreak/>
        <w:t>Analogues of meat, where no less than 12% of the energy value of the food is derived from protein, and the food contains 5 g protein per serve of the food</w:t>
      </w:r>
    </w:p>
    <w:p w14:paraId="7F952C08" w14:textId="77777777" w:rsidR="00033970" w:rsidRDefault="00033970" w:rsidP="00033970">
      <w:pPr>
        <w:pStyle w:val="FSCDraftingitem"/>
      </w:pPr>
      <w:r>
        <w:t>substituting</w:t>
      </w:r>
    </w:p>
    <w:p w14:paraId="18C7200D" w14:textId="77777777" w:rsidR="00033970" w:rsidRPr="00D1467B" w:rsidRDefault="00033970" w:rsidP="00033970">
      <w:pPr>
        <w:pStyle w:val="FSCtblMain"/>
        <w:rPr>
          <w:rFonts w:eastAsiaTheme="minorHAnsi"/>
          <w:i/>
          <w:szCs w:val="22"/>
          <w:lang w:val="en-AU" w:eastAsia="en-US"/>
        </w:rPr>
      </w:pPr>
      <w:r w:rsidRPr="00406D0B">
        <w:rPr>
          <w:rFonts w:eastAsiaTheme="minorHAnsi"/>
          <w:i/>
          <w:szCs w:val="22"/>
          <w:lang w:val="en-AU" w:eastAsia="en-US"/>
        </w:rPr>
        <w:t xml:space="preserve">Analogues of meat, where no less than 12% of the energy value of the food is derived from protein, and the food contains </w:t>
      </w:r>
      <w:r>
        <w:rPr>
          <w:rFonts w:eastAsiaTheme="minorHAnsi"/>
          <w:i/>
          <w:szCs w:val="22"/>
          <w:lang w:val="en-AU" w:eastAsia="en-US"/>
        </w:rPr>
        <w:t xml:space="preserve">no less than </w:t>
      </w:r>
      <w:r w:rsidRPr="00406D0B">
        <w:rPr>
          <w:rFonts w:eastAsiaTheme="minorHAnsi"/>
          <w:i/>
          <w:szCs w:val="22"/>
          <w:lang w:val="en-AU" w:eastAsia="en-US"/>
        </w:rPr>
        <w:t>5 g protein per serve of the food</w:t>
      </w:r>
    </w:p>
    <w:p w14:paraId="2A2550FD" w14:textId="77777777" w:rsidR="00033970" w:rsidRPr="00D1467B" w:rsidRDefault="00033970" w:rsidP="00033970">
      <w:pPr>
        <w:pStyle w:val="FSCDraftingitem"/>
        <w:rPr>
          <w:lang w:bidi="en-US"/>
        </w:rPr>
      </w:pPr>
      <w:r w:rsidRPr="00D1467B">
        <w:rPr>
          <w:b/>
          <w:lang w:bidi="en-US"/>
        </w:rPr>
        <w:t>[</w:t>
      </w:r>
      <w:r>
        <w:rPr>
          <w:b/>
          <w:lang w:bidi="en-US"/>
        </w:rPr>
        <w:t>4</w:t>
      </w:r>
      <w:r w:rsidRPr="00D1467B">
        <w:rPr>
          <w:b/>
          <w:lang w:bidi="en-US"/>
        </w:rPr>
        <w:t>]</w:t>
      </w:r>
      <w:r w:rsidRPr="00D1467B">
        <w:rPr>
          <w:b/>
          <w:lang w:bidi="en-US"/>
        </w:rPr>
        <w:tab/>
        <w:t>Schedule 26</w:t>
      </w:r>
      <w:r w:rsidRPr="00D1467B">
        <w:rPr>
          <w:lang w:bidi="en-US"/>
        </w:rPr>
        <w:t xml:space="preserve"> is </w:t>
      </w:r>
      <w:r w:rsidRPr="00D1467B">
        <w:t>varied</w:t>
      </w:r>
      <w:r w:rsidRPr="00D1467B">
        <w:rPr>
          <w:lang w:bidi="en-US"/>
        </w:rPr>
        <w:t xml:space="preserve"> by </w:t>
      </w:r>
    </w:p>
    <w:p w14:paraId="74A0D193" w14:textId="77777777" w:rsidR="00033970" w:rsidRPr="00D1467B" w:rsidRDefault="00033970" w:rsidP="00033970">
      <w:pPr>
        <w:pStyle w:val="FSCDraftingitem"/>
        <w:rPr>
          <w:rFonts w:cs="Arial"/>
        </w:rPr>
      </w:pPr>
      <w:r>
        <w:rPr>
          <w:lang w:bidi="en-US"/>
        </w:rPr>
        <w:t>[4.</w:t>
      </w:r>
      <w:r w:rsidRPr="00D1467B">
        <w:rPr>
          <w:lang w:bidi="en-US"/>
        </w:rPr>
        <w:t>1]</w:t>
      </w:r>
      <w:r w:rsidRPr="00D1467B">
        <w:rPr>
          <w:lang w:bidi="en-US"/>
        </w:rPr>
        <w:tab/>
        <w:t xml:space="preserve">inserting </w:t>
      </w:r>
      <w:r w:rsidRPr="00D1467B">
        <w:rPr>
          <w:rFonts w:cs="Arial"/>
          <w:lang w:bidi="en-US"/>
        </w:rPr>
        <w:t xml:space="preserve">in </w:t>
      </w:r>
      <w:bookmarkStart w:id="233" w:name="_Toc400032529"/>
      <w:r w:rsidRPr="00D1467B">
        <w:rPr>
          <w:rFonts w:cs="Arial"/>
          <w:lang w:bidi="en-US"/>
        </w:rPr>
        <w:t xml:space="preserve">subsection </w:t>
      </w:r>
      <w:r w:rsidRPr="00D1467B">
        <w:rPr>
          <w:rFonts w:cs="Arial"/>
        </w:rPr>
        <w:t>S26—2</w:t>
      </w:r>
      <w:bookmarkEnd w:id="233"/>
      <w:r w:rsidRPr="00D1467B">
        <w:rPr>
          <w:rFonts w:cs="Arial"/>
        </w:rPr>
        <w:t>(2), in alphabetical order</w:t>
      </w:r>
    </w:p>
    <w:p w14:paraId="5894E22C" w14:textId="3D2A92A6" w:rsidR="00033970" w:rsidRDefault="00C51634" w:rsidP="00033970">
      <w:pPr>
        <w:pStyle w:val="FSCtDefn"/>
        <w:rPr>
          <w:rFonts w:eastAsia="Calibri"/>
          <w:szCs w:val="20"/>
        </w:rPr>
      </w:pPr>
      <w:r>
        <w:rPr>
          <w:b/>
          <w:i/>
          <w:szCs w:val="20"/>
        </w:rPr>
        <w:t>s</w:t>
      </w:r>
      <w:r w:rsidRPr="00D1467B">
        <w:rPr>
          <w:b/>
          <w:i/>
          <w:szCs w:val="20"/>
        </w:rPr>
        <w:t xml:space="preserve">oy </w:t>
      </w:r>
      <w:r w:rsidR="00033970" w:rsidRPr="00D1467B">
        <w:rPr>
          <w:b/>
          <w:i/>
          <w:szCs w:val="20"/>
        </w:rPr>
        <w:t xml:space="preserve">leghemoglobin preparation </w:t>
      </w:r>
      <w:r w:rsidR="00033970" w:rsidRPr="00D1467B">
        <w:rPr>
          <w:szCs w:val="20"/>
        </w:rPr>
        <w:t xml:space="preserve">means a </w:t>
      </w:r>
      <w:r w:rsidR="00033970" w:rsidRPr="00D1467B">
        <w:rPr>
          <w:rFonts w:eastAsia="Calibri"/>
          <w:szCs w:val="20"/>
        </w:rPr>
        <w:t xml:space="preserve">cell lysate preparation </w:t>
      </w:r>
      <w:r w:rsidR="00033970">
        <w:rPr>
          <w:rFonts w:eastAsia="Calibri"/>
          <w:szCs w:val="20"/>
        </w:rPr>
        <w:t>that:</w:t>
      </w:r>
    </w:p>
    <w:p w14:paraId="62B58FDE" w14:textId="77777777" w:rsidR="00033970" w:rsidRPr="001D1563" w:rsidRDefault="00033970" w:rsidP="00033970">
      <w:pPr>
        <w:pStyle w:val="FSCtPara"/>
      </w:pPr>
      <w:r w:rsidRPr="001D1563">
        <w:tab/>
        <w:t>(a)</w:t>
      </w:r>
      <w:r w:rsidRPr="001D1563">
        <w:tab/>
      </w:r>
      <w:r>
        <w:t xml:space="preserve">is derived from </w:t>
      </w:r>
      <w:r w:rsidRPr="00D1467B">
        <w:rPr>
          <w:rFonts w:eastAsia="Calibri"/>
          <w:i/>
          <w:lang w:val="en-AU"/>
        </w:rPr>
        <w:t>Pichia Pastoris</w:t>
      </w:r>
      <w:r w:rsidRPr="00D1467B">
        <w:rPr>
          <w:rFonts w:eastAsia="Calibri"/>
          <w:lang w:val="en-AU"/>
        </w:rPr>
        <w:t xml:space="preserve"> containing the gene for leghemoglobin c2 from </w:t>
      </w:r>
      <w:r w:rsidRPr="00D1467B">
        <w:rPr>
          <w:rFonts w:eastAsia="Calibri"/>
          <w:i/>
          <w:lang w:val="en-AU"/>
        </w:rPr>
        <w:t>Glycine max</w:t>
      </w:r>
      <w:r>
        <w:rPr>
          <w:rFonts w:eastAsia="Calibri"/>
          <w:lang w:val="en-AU"/>
        </w:rPr>
        <w:t xml:space="preserve">; </w:t>
      </w:r>
      <w:r>
        <w:t>and</w:t>
      </w:r>
    </w:p>
    <w:p w14:paraId="6A5D2857" w14:textId="77777777" w:rsidR="00033970" w:rsidRPr="001D1563" w:rsidRDefault="00033970" w:rsidP="00033970">
      <w:pPr>
        <w:pStyle w:val="FSCtPara"/>
      </w:pPr>
      <w:r w:rsidRPr="001D1563">
        <w:tab/>
        <w:t>(b)</w:t>
      </w:r>
      <w:r w:rsidRPr="001D1563">
        <w:tab/>
      </w:r>
      <w:r w:rsidRPr="00D1467B">
        <w:rPr>
          <w:rFonts w:eastAsia="Calibri"/>
          <w:szCs w:val="20"/>
          <w:lang w:val="en-AU"/>
        </w:rPr>
        <w:t xml:space="preserve">contains </w:t>
      </w:r>
      <w:r w:rsidRPr="00D1467B">
        <w:rPr>
          <w:rFonts w:eastAsia="Calibri"/>
          <w:szCs w:val="20"/>
        </w:rPr>
        <w:t>soy leghemoglobin</w:t>
      </w:r>
      <w:r>
        <w:rPr>
          <w:rFonts w:eastAsia="Calibri"/>
          <w:szCs w:val="20"/>
        </w:rPr>
        <w:t>.</w:t>
      </w:r>
    </w:p>
    <w:p w14:paraId="12E172A4" w14:textId="77777777" w:rsidR="00033970" w:rsidRDefault="00033970" w:rsidP="00033970">
      <w:pPr>
        <w:pStyle w:val="FSCDraftingitem"/>
      </w:pPr>
      <w:r>
        <w:rPr>
          <w:lang w:bidi="en-US"/>
        </w:rPr>
        <w:t xml:space="preserve"> [4</w:t>
      </w:r>
      <w:r w:rsidRPr="00D1467B">
        <w:rPr>
          <w:lang w:bidi="en-US"/>
        </w:rPr>
        <w:t>.2]</w:t>
      </w:r>
      <w:r w:rsidRPr="002C5F28">
        <w:rPr>
          <w:color w:val="FF0000"/>
          <w:lang w:bidi="en-US"/>
        </w:rPr>
        <w:tab/>
      </w:r>
      <w:r>
        <w:rPr>
          <w:lang w:bidi="en-US"/>
        </w:rPr>
        <w:t xml:space="preserve">inserting in the table to subsection </w:t>
      </w:r>
      <w:r w:rsidRPr="00944B9D">
        <w:rPr>
          <w:lang w:bidi="en-US"/>
        </w:rPr>
        <w:t>S</w:t>
      </w:r>
      <w:r w:rsidRPr="00944B9D">
        <w:t>26—</w:t>
      </w:r>
      <w:r>
        <w:t>3(7), in numerical order</w:t>
      </w:r>
    </w:p>
    <w:tbl>
      <w:tblPr>
        <w:tblW w:w="9214" w:type="dxa"/>
        <w:tblCellMar>
          <w:left w:w="0" w:type="dxa"/>
          <w:right w:w="0" w:type="dxa"/>
        </w:tblCellMar>
        <w:tblLook w:val="04A0" w:firstRow="1" w:lastRow="0" w:firstColumn="1" w:lastColumn="0" w:noHBand="0" w:noVBand="1"/>
      </w:tblPr>
      <w:tblGrid>
        <w:gridCol w:w="321"/>
        <w:gridCol w:w="1626"/>
        <w:gridCol w:w="223"/>
        <w:gridCol w:w="3359"/>
        <w:gridCol w:w="3685"/>
      </w:tblGrid>
      <w:tr w:rsidR="00033970" w:rsidRPr="00D1467B" w14:paraId="1D6FC86B" w14:textId="77777777" w:rsidTr="003441BD">
        <w:trPr>
          <w:cantSplit/>
          <w:trHeight w:val="243"/>
        </w:trPr>
        <w:tc>
          <w:tcPr>
            <w:tcW w:w="321" w:type="dxa"/>
            <w:tcMar>
              <w:top w:w="0" w:type="dxa"/>
              <w:left w:w="108" w:type="dxa"/>
              <w:bottom w:w="0" w:type="dxa"/>
              <w:right w:w="108" w:type="dxa"/>
            </w:tcMar>
            <w:hideMark/>
          </w:tcPr>
          <w:p w14:paraId="6DF7B9AB" w14:textId="77777777" w:rsidR="00033970" w:rsidRPr="00D1467B" w:rsidRDefault="00033970" w:rsidP="000A328B">
            <w:pPr>
              <w:pStyle w:val="FSCtblMain"/>
              <w:rPr>
                <w:b/>
              </w:rPr>
            </w:pPr>
            <w:r w:rsidRPr="00D1467B">
              <w:rPr>
                <w:b/>
              </w:rPr>
              <w:t>3</w:t>
            </w:r>
          </w:p>
        </w:tc>
        <w:tc>
          <w:tcPr>
            <w:tcW w:w="1626" w:type="dxa"/>
            <w:tcMar>
              <w:top w:w="0" w:type="dxa"/>
              <w:left w:w="108" w:type="dxa"/>
              <w:bottom w:w="0" w:type="dxa"/>
              <w:right w:w="108" w:type="dxa"/>
            </w:tcMar>
            <w:hideMark/>
          </w:tcPr>
          <w:p w14:paraId="539AC8E2" w14:textId="77777777" w:rsidR="00033970" w:rsidRPr="00B33C32" w:rsidRDefault="00033970" w:rsidP="000A328B">
            <w:pPr>
              <w:pStyle w:val="FSCtblMain"/>
              <w:rPr>
                <w:b/>
              </w:rPr>
            </w:pPr>
            <w:r w:rsidRPr="00B33C32">
              <w:rPr>
                <w:b/>
              </w:rPr>
              <w:t xml:space="preserve">Soy leghemoglobin preparation </w:t>
            </w:r>
          </w:p>
        </w:tc>
        <w:tc>
          <w:tcPr>
            <w:tcW w:w="223" w:type="dxa"/>
          </w:tcPr>
          <w:p w14:paraId="7419785D" w14:textId="77777777" w:rsidR="00033970" w:rsidRPr="00D1467B" w:rsidRDefault="00033970" w:rsidP="000A328B">
            <w:pPr>
              <w:widowControl/>
              <w:spacing w:before="60" w:after="60"/>
              <w:ind w:left="347" w:hanging="347"/>
              <w:rPr>
                <w:rFonts w:cs="Arial"/>
                <w:sz w:val="18"/>
                <w:szCs w:val="18"/>
                <w:lang w:eastAsia="en-GB"/>
              </w:rPr>
            </w:pPr>
          </w:p>
        </w:tc>
        <w:tc>
          <w:tcPr>
            <w:tcW w:w="3359" w:type="dxa"/>
            <w:tcMar>
              <w:top w:w="0" w:type="dxa"/>
              <w:left w:w="108" w:type="dxa"/>
              <w:bottom w:w="0" w:type="dxa"/>
              <w:right w:w="108" w:type="dxa"/>
            </w:tcMar>
            <w:hideMark/>
          </w:tcPr>
          <w:p w14:paraId="102B8811" w14:textId="77777777" w:rsidR="00033970" w:rsidRPr="00D1467B" w:rsidRDefault="00033970" w:rsidP="000A328B">
            <w:pPr>
              <w:pStyle w:val="FSCtblMain"/>
              <w:rPr>
                <w:szCs w:val="18"/>
              </w:rPr>
            </w:pPr>
            <w:r w:rsidRPr="00D1467B">
              <w:rPr>
                <w:rFonts w:eastAsia="Calibri"/>
                <w:i/>
                <w:lang w:val="en-AU"/>
              </w:rPr>
              <w:t>Pichia Pastoris</w:t>
            </w:r>
            <w:r w:rsidRPr="00D1467B">
              <w:rPr>
                <w:rFonts w:eastAsia="Calibri"/>
                <w:lang w:val="en-AU"/>
              </w:rPr>
              <w:t xml:space="preserve"> containing the gene for leghemoglobin c2 from </w:t>
            </w:r>
            <w:r w:rsidRPr="00D1467B">
              <w:rPr>
                <w:rFonts w:eastAsia="Calibri"/>
                <w:i/>
                <w:lang w:val="en-AU"/>
              </w:rPr>
              <w:t>Glycine max</w:t>
            </w:r>
          </w:p>
        </w:tc>
        <w:tc>
          <w:tcPr>
            <w:tcW w:w="3685" w:type="dxa"/>
          </w:tcPr>
          <w:p w14:paraId="710FA673" w14:textId="77777777" w:rsidR="00033970" w:rsidRPr="00D1467B" w:rsidRDefault="00033970" w:rsidP="009B3571">
            <w:pPr>
              <w:widowControl/>
              <w:numPr>
                <w:ilvl w:val="0"/>
                <w:numId w:val="21"/>
              </w:numPr>
              <w:tabs>
                <w:tab w:val="left" w:pos="0"/>
              </w:tabs>
              <w:spacing w:before="60" w:after="60"/>
              <w:ind w:left="339" w:right="34" w:hanging="339"/>
              <w:contextualSpacing/>
              <w:rPr>
                <w:rFonts w:eastAsia="Calibri" w:cs="Arial"/>
                <w:sz w:val="18"/>
                <w:szCs w:val="18"/>
                <w:lang w:eastAsia="en-GB"/>
              </w:rPr>
            </w:pPr>
            <w:r w:rsidRPr="00D1467B">
              <w:rPr>
                <w:rFonts w:eastAsia="Calibri" w:cs="Arial"/>
                <w:sz w:val="18"/>
                <w:szCs w:val="18"/>
                <w:lang w:eastAsia="en-AU"/>
              </w:rPr>
              <w:t xml:space="preserve">May only be added to </w:t>
            </w:r>
            <w:r w:rsidRPr="00D1467B">
              <w:rPr>
                <w:sz w:val="18"/>
                <w:szCs w:val="18"/>
              </w:rPr>
              <w:t xml:space="preserve">a meat analogue product to enable the use in that product of soy leghemoglobin </w:t>
            </w:r>
            <w:r w:rsidRPr="00D1467B">
              <w:rPr>
                <w:rFonts w:eastAsia="Calibri" w:cs="Arial"/>
                <w:sz w:val="18"/>
                <w:szCs w:val="18"/>
                <w:lang w:eastAsia="en-AU"/>
              </w:rPr>
              <w:t>as a nutritive substance in accordance with Standard 1.3.2.</w:t>
            </w:r>
          </w:p>
          <w:p w14:paraId="145BB65D" w14:textId="16579C81" w:rsidR="00033970" w:rsidRPr="00D1467B" w:rsidRDefault="00033970" w:rsidP="009B3571">
            <w:pPr>
              <w:widowControl/>
              <w:numPr>
                <w:ilvl w:val="0"/>
                <w:numId w:val="21"/>
              </w:numPr>
              <w:tabs>
                <w:tab w:val="left" w:pos="0"/>
              </w:tabs>
              <w:spacing w:before="60" w:after="60"/>
              <w:ind w:left="339" w:right="36" w:hanging="339"/>
              <w:contextualSpacing/>
              <w:rPr>
                <w:rFonts w:eastAsia="Calibri" w:cs="Arial"/>
                <w:sz w:val="18"/>
                <w:szCs w:val="18"/>
                <w:lang w:eastAsia="en-GB"/>
              </w:rPr>
            </w:pPr>
            <w:r w:rsidRPr="00D7544F">
              <w:rPr>
                <w:rFonts w:eastAsia="Calibri" w:cs="Arial"/>
                <w:sz w:val="18"/>
                <w:szCs w:val="18"/>
                <w:lang w:eastAsia="en-AU"/>
              </w:rPr>
              <w:t xml:space="preserve">Must comply with the specifications set out in section </w:t>
            </w:r>
            <w:r w:rsidRPr="00D7544F">
              <w:rPr>
                <w:sz w:val="18"/>
                <w:szCs w:val="18"/>
              </w:rPr>
              <w:t>S3—42.</w:t>
            </w:r>
          </w:p>
        </w:tc>
      </w:tr>
    </w:tbl>
    <w:p w14:paraId="64687CA9" w14:textId="77777777" w:rsidR="00033970" w:rsidRPr="00D1467B" w:rsidRDefault="00033970" w:rsidP="00033970">
      <w:pPr>
        <w:pStyle w:val="FSCDraftingitem"/>
      </w:pPr>
    </w:p>
    <w:p w14:paraId="792EBB37" w14:textId="77777777" w:rsidR="00AB0275" w:rsidRPr="00795D86" w:rsidRDefault="00AB0275" w:rsidP="00AB0275">
      <w:pPr>
        <w:rPr>
          <w:lang w:bidi="ar-SA"/>
        </w:rPr>
      </w:pPr>
    </w:p>
    <w:p w14:paraId="10D13654" w14:textId="77777777" w:rsidR="00AF06FC" w:rsidRDefault="00AB0275" w:rsidP="00AB0275">
      <w:pPr>
        <w:rPr>
          <w:lang w:val="en-AU" w:eastAsia="en-GB" w:bidi="ar-SA"/>
        </w:rPr>
      </w:pPr>
      <w:r w:rsidRPr="00932F14">
        <w:br w:type="page"/>
      </w:r>
    </w:p>
    <w:p w14:paraId="451DE60B" w14:textId="76B81CE1" w:rsidR="00AB0275" w:rsidRDefault="00AB2BE0" w:rsidP="00AB0275">
      <w:pPr>
        <w:pStyle w:val="Heading2"/>
        <w:ind w:left="0" w:firstLine="0"/>
      </w:pPr>
      <w:bookmarkStart w:id="234" w:name="_Toc41576686"/>
      <w:bookmarkStart w:id="235" w:name="_Toc42875249"/>
      <w:bookmarkStart w:id="236" w:name="_Toc43126902"/>
      <w:bookmarkStart w:id="237" w:name="_Toc43128153"/>
      <w:r>
        <w:lastRenderedPageBreak/>
        <w:t>Attachment</w:t>
      </w:r>
      <w:r w:rsidR="002C4A91" w:rsidRPr="00932F14">
        <w:t xml:space="preserve"> </w:t>
      </w:r>
      <w:r w:rsidR="002C4A91">
        <w:t xml:space="preserve">B – </w:t>
      </w:r>
      <w:r w:rsidR="00AB0275">
        <w:t>Draft Explanatory Statement</w:t>
      </w:r>
      <w:bookmarkEnd w:id="234"/>
      <w:bookmarkEnd w:id="235"/>
      <w:bookmarkEnd w:id="236"/>
      <w:bookmarkEnd w:id="237"/>
    </w:p>
    <w:p w14:paraId="07F17826" w14:textId="7FE3F634" w:rsidR="00AB0275" w:rsidRPr="00B51A46" w:rsidRDefault="00AB0275" w:rsidP="00B51A46">
      <w:pPr>
        <w:spacing w:after="240"/>
        <w:rPr>
          <w:b/>
          <w:lang w:val="en-AU"/>
        </w:rPr>
      </w:pPr>
      <w:r w:rsidRPr="00B51A46">
        <w:rPr>
          <w:b/>
          <w:lang w:val="en-AU"/>
        </w:rPr>
        <w:t>1.</w:t>
      </w:r>
      <w:r w:rsidRPr="00B51A46">
        <w:rPr>
          <w:b/>
          <w:lang w:val="en-AU"/>
        </w:rPr>
        <w:tab/>
        <w:t>Authority</w:t>
      </w:r>
    </w:p>
    <w:p w14:paraId="559B0E4A"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8800779" w14:textId="77777777" w:rsidR="00AB0275" w:rsidRPr="00D13E34" w:rsidRDefault="00AB0275" w:rsidP="00AB0275">
      <w:pPr>
        <w:widowControl/>
        <w:autoSpaceDE w:val="0"/>
        <w:autoSpaceDN w:val="0"/>
        <w:adjustRightInd w:val="0"/>
        <w:rPr>
          <w:rFonts w:eastAsia="Calibri" w:cs="Arial"/>
          <w:bCs/>
          <w:szCs w:val="22"/>
          <w:lang w:val="en-AU" w:bidi="ar-SA"/>
        </w:rPr>
      </w:pPr>
    </w:p>
    <w:p w14:paraId="22AB7796" w14:textId="77777777" w:rsidR="00AB0275" w:rsidRPr="009D435A" w:rsidRDefault="00AB0275" w:rsidP="00AB0275">
      <w:pPr>
        <w:widowControl/>
        <w:autoSpaceDE w:val="0"/>
        <w:autoSpaceDN w:val="0"/>
        <w:adjustRightInd w:val="0"/>
        <w:rPr>
          <w:rFonts w:eastAsia="Calibri" w:cs="Arial"/>
          <w:szCs w:val="22"/>
          <w:lang w:val="en-AU" w:bidi="ar-SA"/>
        </w:rPr>
      </w:pPr>
      <w:r w:rsidRPr="009D435A">
        <w:rPr>
          <w:rFonts w:eastAsia="Calibri" w:cs="Arial"/>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7178C09" w14:textId="77777777" w:rsidR="00AB0275" w:rsidRPr="009D435A" w:rsidRDefault="00AB0275" w:rsidP="00AB0275">
      <w:pPr>
        <w:widowControl/>
        <w:autoSpaceDE w:val="0"/>
        <w:autoSpaceDN w:val="0"/>
        <w:adjustRightInd w:val="0"/>
        <w:rPr>
          <w:rFonts w:eastAsia="Calibri" w:cs="Arial"/>
          <w:szCs w:val="22"/>
          <w:lang w:val="en-AU" w:bidi="ar-SA"/>
        </w:rPr>
      </w:pPr>
    </w:p>
    <w:p w14:paraId="34EE3181" w14:textId="1BAFC489" w:rsidR="00AB0275" w:rsidRPr="00D13E34" w:rsidRDefault="00903464" w:rsidP="00AB0275">
      <w:pPr>
        <w:widowControl/>
        <w:autoSpaceDE w:val="0"/>
        <w:autoSpaceDN w:val="0"/>
        <w:adjustRightInd w:val="0"/>
        <w:rPr>
          <w:rFonts w:eastAsia="Calibri" w:cs="Arial"/>
          <w:bCs/>
          <w:szCs w:val="22"/>
          <w:lang w:val="en-AU" w:bidi="ar-SA"/>
        </w:rPr>
      </w:pPr>
      <w:r>
        <w:rPr>
          <w:rFonts w:eastAsia="Calibri" w:cs="Arial"/>
          <w:szCs w:val="22"/>
          <w:lang w:val="en-AU" w:bidi="ar-SA"/>
        </w:rPr>
        <w:t>The Authority</w:t>
      </w:r>
      <w:r w:rsidRPr="009D435A">
        <w:rPr>
          <w:rFonts w:eastAsia="Calibri" w:cs="Arial"/>
          <w:szCs w:val="22"/>
          <w:lang w:val="en-AU" w:bidi="ar-SA"/>
        </w:rPr>
        <w:t xml:space="preserve"> </w:t>
      </w:r>
      <w:r w:rsidR="00AB0275" w:rsidRPr="009D435A">
        <w:rPr>
          <w:rFonts w:eastAsia="Calibri" w:cs="Arial"/>
          <w:szCs w:val="22"/>
          <w:lang w:val="en-AU" w:bidi="ar-SA"/>
        </w:rPr>
        <w:t xml:space="preserve">accepted Application </w:t>
      </w:r>
      <w:r w:rsidR="00BA4AB2" w:rsidRPr="009D435A">
        <w:rPr>
          <w:rFonts w:eastAsia="Calibri" w:cs="Arial"/>
          <w:szCs w:val="22"/>
          <w:lang w:val="en-AU" w:bidi="ar-SA"/>
        </w:rPr>
        <w:t>A1186</w:t>
      </w:r>
      <w:r w:rsidR="00AB0275" w:rsidRPr="009D435A">
        <w:rPr>
          <w:rFonts w:eastAsia="Calibri" w:cs="Arial"/>
          <w:szCs w:val="22"/>
          <w:lang w:val="en-AU" w:bidi="ar-SA"/>
        </w:rPr>
        <w:t xml:space="preserve"> which </w:t>
      </w:r>
      <w:r w:rsidR="00BA4AB2" w:rsidRPr="009D435A">
        <w:rPr>
          <w:rFonts w:eastAsia="Calibri" w:cs="Arial"/>
          <w:szCs w:val="22"/>
          <w:lang w:val="en-AU" w:bidi="ar-SA"/>
        </w:rPr>
        <w:t>sought</w:t>
      </w:r>
      <w:r w:rsidR="00AB0275" w:rsidRPr="009D435A">
        <w:rPr>
          <w:rFonts w:eastAsia="Calibri" w:cs="Arial"/>
          <w:szCs w:val="22"/>
          <w:lang w:val="en-AU" w:bidi="ar-SA"/>
        </w:rPr>
        <w:t xml:space="preserve"> to </w:t>
      </w:r>
      <w:r w:rsidR="00BA4AB2" w:rsidRPr="009D435A">
        <w:rPr>
          <w:rFonts w:eastAsia="Calibri" w:cs="Arial"/>
          <w:szCs w:val="22"/>
          <w:lang w:val="en-AU" w:bidi="ar-SA"/>
        </w:rPr>
        <w:t xml:space="preserve">permit the voluntary </w:t>
      </w:r>
      <w:r w:rsidR="007A1874">
        <w:rPr>
          <w:rFonts w:eastAsia="Calibri" w:cs="Arial"/>
          <w:szCs w:val="22"/>
          <w:lang w:val="en-AU" w:bidi="ar-SA"/>
        </w:rPr>
        <w:t>use</w:t>
      </w:r>
      <w:r w:rsidR="00BA4AB2" w:rsidRPr="009D435A">
        <w:rPr>
          <w:rFonts w:eastAsia="Calibri" w:cs="Arial"/>
          <w:szCs w:val="22"/>
          <w:lang w:val="en-AU" w:bidi="ar-SA"/>
        </w:rPr>
        <w:t xml:space="preserve"> of </w:t>
      </w:r>
      <w:r w:rsidR="004B7B3D">
        <w:rPr>
          <w:rFonts w:eastAsia="Calibri" w:cs="Arial"/>
          <w:szCs w:val="22"/>
          <w:lang w:val="en-AU" w:bidi="ar-SA"/>
        </w:rPr>
        <w:t xml:space="preserve">a </w:t>
      </w:r>
      <w:r w:rsidR="00BA4AB2" w:rsidRPr="009D435A">
        <w:rPr>
          <w:rFonts w:eastAsia="Calibri" w:cs="Arial"/>
          <w:szCs w:val="22"/>
          <w:lang w:val="en-AU" w:bidi="ar-SA"/>
        </w:rPr>
        <w:t>soy leghemoglobin, produced by microbial fermentation of a GM yeast (</w:t>
      </w:r>
      <w:r w:rsidR="00BA4AB2" w:rsidRPr="009D435A">
        <w:rPr>
          <w:rFonts w:eastAsia="Calibri" w:cs="Arial"/>
          <w:i/>
          <w:szCs w:val="22"/>
          <w:lang w:val="en-AU" w:bidi="ar-SA"/>
        </w:rPr>
        <w:t>P. Pastoris</w:t>
      </w:r>
      <w:r w:rsidR="00BA4AB2" w:rsidRPr="009D435A">
        <w:rPr>
          <w:rFonts w:eastAsia="Calibri" w:cs="Arial"/>
          <w:szCs w:val="22"/>
          <w:lang w:val="en-AU" w:bidi="ar-SA"/>
        </w:rPr>
        <w:t>), to meat analogue products</w:t>
      </w:r>
      <w:r w:rsidR="00AB0275" w:rsidRPr="009D435A">
        <w:rPr>
          <w:rFonts w:eastAsia="Calibri" w:cs="Arial"/>
          <w:szCs w:val="22"/>
          <w:lang w:val="en-AU" w:bidi="ar-SA"/>
        </w:rPr>
        <w:t xml:space="preserve">. The Authority considered the Application in accordance with Division 1 of Part 3 and has </w:t>
      </w:r>
      <w:r w:rsidR="00CA3C65" w:rsidRPr="009D435A">
        <w:rPr>
          <w:rFonts w:eastAsia="Calibri" w:cs="Arial"/>
          <w:szCs w:val="22"/>
          <w:lang w:val="en-AU" w:bidi="ar-SA"/>
        </w:rPr>
        <w:t>prepared</w:t>
      </w:r>
      <w:r w:rsidR="00AB0275" w:rsidRPr="009D435A">
        <w:rPr>
          <w:rFonts w:eastAsia="Calibri" w:cs="Arial"/>
          <w:szCs w:val="22"/>
          <w:lang w:val="en-AU" w:bidi="ar-SA"/>
        </w:rPr>
        <w:t xml:space="preserve"> a draft </w:t>
      </w:r>
      <w:r w:rsidR="00BA4AB2" w:rsidRPr="009D435A">
        <w:rPr>
          <w:rFonts w:eastAsia="Calibri" w:cs="Arial"/>
          <w:szCs w:val="22"/>
          <w:lang w:val="en-AU" w:bidi="ar-SA"/>
        </w:rPr>
        <w:t>variation to the Code</w:t>
      </w:r>
      <w:r w:rsidR="00AB0275" w:rsidRPr="009D435A">
        <w:rPr>
          <w:rFonts w:eastAsia="Calibri" w:cs="Arial"/>
          <w:szCs w:val="22"/>
          <w:lang w:val="en-AU" w:bidi="ar-SA"/>
        </w:rPr>
        <w:t xml:space="preserve">. </w:t>
      </w:r>
    </w:p>
    <w:p w14:paraId="33F244AB" w14:textId="7E2B5DC3" w:rsidR="00AB0275" w:rsidRPr="00B51A46" w:rsidRDefault="00AB0275" w:rsidP="00B51A46">
      <w:pPr>
        <w:spacing w:before="240" w:after="240"/>
        <w:rPr>
          <w:b/>
          <w:lang w:val="en-AU"/>
        </w:rPr>
      </w:pPr>
      <w:r w:rsidRPr="00B51A46">
        <w:rPr>
          <w:b/>
          <w:lang w:val="en-AU"/>
        </w:rPr>
        <w:t>2.</w:t>
      </w:r>
      <w:r w:rsidRPr="00B51A46">
        <w:rPr>
          <w:b/>
          <w:lang w:val="en-AU"/>
        </w:rPr>
        <w:tab/>
        <w:t xml:space="preserve">Purpose </w:t>
      </w:r>
    </w:p>
    <w:p w14:paraId="72985397" w14:textId="12DB2095" w:rsidR="0044510A" w:rsidRDefault="00AB0275" w:rsidP="00AB0275">
      <w:r>
        <w:rPr>
          <w:lang w:val="en-AU" w:eastAsia="en-GB" w:bidi="ar-SA"/>
        </w:rPr>
        <w:t xml:space="preserve">The Authority has </w:t>
      </w:r>
      <w:r w:rsidR="00CA3C65" w:rsidRPr="00E03188">
        <w:rPr>
          <w:lang w:val="en-AU" w:eastAsia="en-GB" w:bidi="ar-SA"/>
        </w:rPr>
        <w:t>prepar</w:t>
      </w:r>
      <w:r w:rsidRPr="00E03188">
        <w:rPr>
          <w:lang w:val="en-AU" w:eastAsia="en-GB" w:bidi="ar-SA"/>
        </w:rPr>
        <w:t>ed</w:t>
      </w:r>
      <w:r>
        <w:rPr>
          <w:lang w:val="en-AU" w:eastAsia="en-GB" w:bidi="ar-SA"/>
        </w:rPr>
        <w:t xml:space="preserve"> </w:t>
      </w:r>
      <w:r w:rsidR="00BA4AB2" w:rsidRPr="00E03188">
        <w:rPr>
          <w:lang w:val="en-AU" w:eastAsia="en-GB" w:bidi="ar-SA"/>
        </w:rPr>
        <w:t xml:space="preserve">a draft variation </w:t>
      </w:r>
      <w:r w:rsidR="004B7B3D">
        <w:rPr>
          <w:lang w:val="en-AU" w:eastAsia="en-GB" w:bidi="ar-SA"/>
        </w:rPr>
        <w:t>amending</w:t>
      </w:r>
      <w:r w:rsidR="004B7B3D" w:rsidRPr="00E03188">
        <w:rPr>
          <w:lang w:val="en-AU" w:eastAsia="en-GB" w:bidi="ar-SA"/>
        </w:rPr>
        <w:t xml:space="preserve"> </w:t>
      </w:r>
      <w:r w:rsidR="00BA4AB2" w:rsidRPr="00E03188">
        <w:rPr>
          <w:lang w:val="en-AU" w:eastAsia="en-GB" w:bidi="ar-SA"/>
        </w:rPr>
        <w:t>the Code to</w:t>
      </w:r>
      <w:r w:rsidR="004B7B3D">
        <w:rPr>
          <w:lang w:val="en-AU" w:eastAsia="en-GB" w:bidi="ar-SA"/>
        </w:rPr>
        <w:t xml:space="preserve"> permit </w:t>
      </w:r>
      <w:r w:rsidR="0044510A">
        <w:rPr>
          <w:lang w:val="en-AU" w:eastAsia="en-GB" w:bidi="ar-SA"/>
        </w:rPr>
        <w:t xml:space="preserve">iron in the form of </w:t>
      </w:r>
      <w:r w:rsidR="004B7B3D">
        <w:t>soy leghemoglobin</w:t>
      </w:r>
      <w:r w:rsidR="000D75B6">
        <w:t>,</w:t>
      </w:r>
      <w:r w:rsidR="003321A8">
        <w:t xml:space="preserve"> produced in a particular way</w:t>
      </w:r>
      <w:r w:rsidR="000D75B6">
        <w:t>,</w:t>
      </w:r>
      <w:r w:rsidR="004B7B3D">
        <w:t xml:space="preserve"> to be used as a nutritive substance</w:t>
      </w:r>
      <w:r w:rsidR="0044510A">
        <w:t xml:space="preserve"> in meat analogue products to which section S17—4 applies, up to a specified maximum level. </w:t>
      </w:r>
    </w:p>
    <w:p w14:paraId="2633EAB6" w14:textId="77777777" w:rsidR="0044510A" w:rsidRDefault="0044510A" w:rsidP="00AB0275"/>
    <w:p w14:paraId="47204D07" w14:textId="1D263574" w:rsidR="0044510A" w:rsidRDefault="0044510A" w:rsidP="00AB0275">
      <w:r>
        <w:t>The soy leghemoglobin must be in a soy leghemoglobin preparation that is listed in Schedule 26 and complies with corresponding conditions listed in that Schedule.</w:t>
      </w:r>
    </w:p>
    <w:p w14:paraId="5DDD6EBE" w14:textId="04DF8826" w:rsidR="003321A8" w:rsidRDefault="003321A8" w:rsidP="00AB0275"/>
    <w:p w14:paraId="0E76D6E0" w14:textId="352E596A" w:rsidR="003321A8" w:rsidRDefault="003321A8" w:rsidP="00AB0275">
      <w:r>
        <w:t>The draft variation includes amendments to Standard 1.3.2, and Schedules 3, 17 and 26</w:t>
      </w:r>
      <w:r w:rsidR="000D75B6">
        <w:t xml:space="preserve"> to achieve this purpose.</w:t>
      </w:r>
      <w:r>
        <w:t xml:space="preserve"> </w:t>
      </w:r>
    </w:p>
    <w:p w14:paraId="06227C10" w14:textId="64C3EFB3" w:rsidR="00AB0275" w:rsidRPr="00B51A46" w:rsidRDefault="00AB0275" w:rsidP="00B51A46">
      <w:pPr>
        <w:spacing w:before="240" w:after="240"/>
        <w:rPr>
          <w:b/>
          <w:lang w:val="en-AU"/>
        </w:rPr>
      </w:pPr>
      <w:r w:rsidRPr="00B51A46">
        <w:rPr>
          <w:b/>
          <w:lang w:val="en-AU"/>
        </w:rPr>
        <w:t>3.</w:t>
      </w:r>
      <w:r w:rsidRPr="00B51A46">
        <w:rPr>
          <w:b/>
          <w:lang w:val="en-AU"/>
        </w:rPr>
        <w:tab/>
        <w:t>Documents incorporated by reference</w:t>
      </w:r>
    </w:p>
    <w:p w14:paraId="77B59BE1" w14:textId="24F4DB3A" w:rsidR="00AB0275" w:rsidRPr="00B16C8E" w:rsidRDefault="00AB0275" w:rsidP="00B16C8E">
      <w:pPr>
        <w:widowControl/>
        <w:autoSpaceDE w:val="0"/>
        <w:autoSpaceDN w:val="0"/>
        <w:adjustRightInd w:val="0"/>
        <w:rPr>
          <w:rFonts w:eastAsia="Calibri" w:cs="Arial"/>
          <w:szCs w:val="22"/>
          <w:lang w:val="en-AU" w:bidi="ar-SA"/>
        </w:rPr>
      </w:pPr>
      <w:r w:rsidRPr="00D13E34">
        <w:rPr>
          <w:rFonts w:eastAsia="Calibri" w:cs="Arial"/>
          <w:bCs/>
          <w:szCs w:val="22"/>
          <w:lang w:val="en-AU" w:bidi="ar-SA"/>
        </w:rPr>
        <w:t>The variations to food regulatory measures do not incorporate any documents by reference.</w:t>
      </w:r>
    </w:p>
    <w:p w14:paraId="1FE62279" w14:textId="4B39ED84" w:rsidR="00AB0275" w:rsidRPr="00B51A46" w:rsidRDefault="00AB0275" w:rsidP="00B51A46">
      <w:pPr>
        <w:spacing w:before="240" w:after="240"/>
        <w:rPr>
          <w:b/>
          <w:lang w:val="en-AU"/>
        </w:rPr>
      </w:pPr>
      <w:r w:rsidRPr="00B51A46">
        <w:rPr>
          <w:b/>
          <w:lang w:val="en-AU"/>
        </w:rPr>
        <w:t>4.</w:t>
      </w:r>
      <w:r w:rsidRPr="00B51A46">
        <w:rPr>
          <w:b/>
          <w:lang w:val="en-AU"/>
        </w:rPr>
        <w:tab/>
        <w:t>Consultation</w:t>
      </w:r>
    </w:p>
    <w:p w14:paraId="5C688816" w14:textId="2BF0C391" w:rsidR="00AB0275" w:rsidRPr="006C6CCA" w:rsidRDefault="00AB0275" w:rsidP="00AB0275">
      <w:r w:rsidRPr="00F634A1">
        <w:rPr>
          <w:szCs w:val="22"/>
        </w:rPr>
        <w:t xml:space="preserve">In accordance with the procedure in Division </w:t>
      </w:r>
      <w:r w:rsidR="00A603EC" w:rsidRPr="006C6CCA">
        <w:rPr>
          <w:szCs w:val="22"/>
        </w:rPr>
        <w:t>1</w:t>
      </w:r>
      <w:r w:rsidRPr="006C6CCA">
        <w:rPr>
          <w:szCs w:val="22"/>
        </w:rPr>
        <w:t xml:space="preserve"> </w:t>
      </w:r>
      <w:r w:rsidRPr="00F634A1">
        <w:rPr>
          <w:szCs w:val="22"/>
        </w:rPr>
        <w:t xml:space="preserve">of Part </w:t>
      </w:r>
      <w:r w:rsidR="00A603EC" w:rsidRPr="006C6CCA">
        <w:rPr>
          <w:szCs w:val="22"/>
        </w:rPr>
        <w:t>3</w:t>
      </w:r>
      <w:r w:rsidRPr="006C6CCA">
        <w:rPr>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6C6CCA">
        <w:rPr>
          <w:szCs w:val="22"/>
        </w:rPr>
        <w:t>Application A</w:t>
      </w:r>
      <w:r w:rsidR="006C6CCA" w:rsidRPr="006C6CCA">
        <w:rPr>
          <w:szCs w:val="22"/>
        </w:rPr>
        <w:t>1186</w:t>
      </w:r>
      <w:r w:rsidRPr="006C6CCA">
        <w:rPr>
          <w:szCs w:val="22"/>
        </w:rPr>
        <w:t xml:space="preserve"> include</w:t>
      </w:r>
      <w:r w:rsidR="006C6CCA" w:rsidRPr="006C6CCA">
        <w:rPr>
          <w:szCs w:val="22"/>
        </w:rPr>
        <w:t>s a total</w:t>
      </w:r>
      <w:r w:rsidRPr="006C6CCA">
        <w:rPr>
          <w:szCs w:val="22"/>
        </w:rPr>
        <w:t xml:space="preserve"> of </w:t>
      </w:r>
      <w:r w:rsidR="006C6CCA" w:rsidRPr="006C6CCA">
        <w:rPr>
          <w:szCs w:val="22"/>
        </w:rPr>
        <w:t>two</w:t>
      </w:r>
      <w:r w:rsidRPr="006C6CCA">
        <w:rPr>
          <w:szCs w:val="22"/>
        </w:rPr>
        <w:t xml:space="preserve"> public consultation </w:t>
      </w:r>
      <w:r w:rsidR="006C6CCA" w:rsidRPr="006C6CCA">
        <w:rPr>
          <w:szCs w:val="22"/>
        </w:rPr>
        <w:t xml:space="preserve">rounds </w:t>
      </w:r>
      <w:r w:rsidRPr="006C6CCA">
        <w:rPr>
          <w:szCs w:val="22"/>
        </w:rPr>
        <w:t xml:space="preserve">following an assessment and the preparation of a draft </w:t>
      </w:r>
      <w:r w:rsidR="006C6CCA" w:rsidRPr="006C6CCA">
        <w:rPr>
          <w:szCs w:val="22"/>
        </w:rPr>
        <w:t>variation</w:t>
      </w:r>
      <w:r w:rsidRPr="006C6CCA">
        <w:rPr>
          <w:szCs w:val="22"/>
        </w:rPr>
        <w:t xml:space="preserve"> and associated </w:t>
      </w:r>
      <w:r w:rsidR="006211CD" w:rsidRPr="006C6CCA">
        <w:rPr>
          <w:szCs w:val="22"/>
        </w:rPr>
        <w:t>assessment summaries</w:t>
      </w:r>
      <w:r w:rsidR="006C6CCA" w:rsidRPr="006C6CCA">
        <w:rPr>
          <w:szCs w:val="22"/>
        </w:rPr>
        <w:t>.</w:t>
      </w:r>
    </w:p>
    <w:p w14:paraId="71F71729" w14:textId="77777777" w:rsidR="00DC0BF9" w:rsidRDefault="00DC0BF9" w:rsidP="00DC0BF9">
      <w:pPr>
        <w:rPr>
          <w:szCs w:val="22"/>
        </w:rPr>
      </w:pPr>
    </w:p>
    <w:p w14:paraId="5A46A7CC" w14:textId="644DE5C4" w:rsidR="00DC0BF9" w:rsidRDefault="00DC0BF9" w:rsidP="00DC0BF9">
      <w:pPr>
        <w:rPr>
          <w:rFonts w:eastAsia="Calibri"/>
          <w:szCs w:val="22"/>
        </w:rPr>
      </w:pPr>
      <w:r>
        <w:rPr>
          <w:szCs w:val="22"/>
        </w:rPr>
        <w:t xml:space="preserve">Submissions were first called for on </w:t>
      </w:r>
      <w:r w:rsidR="009D6B8F">
        <w:rPr>
          <w:szCs w:val="22"/>
        </w:rPr>
        <w:t xml:space="preserve">the Authority’s </w:t>
      </w:r>
      <w:r>
        <w:rPr>
          <w:szCs w:val="22"/>
        </w:rPr>
        <w:t xml:space="preserve">safety and risk assessment, and preliminary regulatory position </w:t>
      </w:r>
      <w:r>
        <w:t>on 20 December 2020 for a six week consultation period.</w:t>
      </w:r>
    </w:p>
    <w:p w14:paraId="09D1C13C" w14:textId="77777777" w:rsidR="00AB0275" w:rsidRPr="006C6CCA" w:rsidRDefault="00AB0275" w:rsidP="00AB0275">
      <w:pPr>
        <w:rPr>
          <w:rFonts w:eastAsia="Calibri"/>
          <w:lang w:val="en-AU" w:bidi="ar-SA"/>
        </w:rPr>
      </w:pPr>
    </w:p>
    <w:p w14:paraId="58E49DA7" w14:textId="0D9ECF21" w:rsidR="000143DF" w:rsidRDefault="00AB0275" w:rsidP="00B16C8E">
      <w:pPr>
        <w:widowControl/>
        <w:autoSpaceDE w:val="0"/>
        <w:autoSpaceDN w:val="0"/>
        <w:adjustRightInd w:val="0"/>
        <w:rPr>
          <w:rFonts w:eastAsia="Calibri" w:cs="Arial"/>
          <w:szCs w:val="22"/>
          <w:lang w:val="en-AU" w:bidi="ar-SA"/>
        </w:rPr>
      </w:pPr>
      <w:r w:rsidRPr="006C6CCA">
        <w:rPr>
          <w:rFonts w:eastAsia="Calibri" w:cs="Arial"/>
          <w:szCs w:val="22"/>
          <w:lang w:val="en-AU" w:bidi="ar-SA"/>
        </w:rPr>
        <w:t>A Regulation Impact Statement</w:t>
      </w:r>
      <w:r w:rsidR="000143DF">
        <w:rPr>
          <w:rFonts w:eastAsia="Calibri" w:cs="Arial"/>
          <w:szCs w:val="22"/>
          <w:lang w:val="en-AU" w:bidi="ar-SA"/>
        </w:rPr>
        <w:t xml:space="preserve"> (RIS)</w:t>
      </w:r>
      <w:r w:rsidRPr="006C6CCA">
        <w:rPr>
          <w:rFonts w:eastAsia="Calibri" w:cs="Arial"/>
          <w:szCs w:val="22"/>
          <w:lang w:val="en-AU" w:bidi="ar-SA"/>
        </w:rPr>
        <w:t xml:space="preserve"> was not required because </w:t>
      </w:r>
      <w:r w:rsidR="00EB555F">
        <w:rPr>
          <w:rFonts w:eastAsia="Calibri" w:cs="Arial"/>
          <w:szCs w:val="22"/>
          <w:lang w:val="en-AU" w:bidi="ar-SA"/>
        </w:rPr>
        <w:t>t</w:t>
      </w:r>
      <w:r w:rsidR="00EB555F" w:rsidRPr="00EB555F">
        <w:rPr>
          <w:rFonts w:eastAsia="Calibri" w:cs="Arial"/>
          <w:szCs w:val="22"/>
          <w:lang w:val="en-AU" w:bidi="ar-SA"/>
        </w:rPr>
        <w:t>he Office of Best Practice Regulation (OBPR) gra</w:t>
      </w:r>
      <w:r w:rsidR="000143DF">
        <w:rPr>
          <w:rFonts w:eastAsia="Calibri" w:cs="Arial"/>
          <w:szCs w:val="22"/>
          <w:lang w:val="en-AU" w:bidi="ar-SA"/>
        </w:rPr>
        <w:t xml:space="preserve">nted FSANZ a standing exemption, </w:t>
      </w:r>
      <w:r w:rsidR="000143DF" w:rsidRPr="00EB555F">
        <w:rPr>
          <w:rFonts w:eastAsia="Calibri" w:cs="Arial"/>
          <w:szCs w:val="22"/>
          <w:lang w:val="en-AU" w:bidi="ar-SA"/>
        </w:rPr>
        <w:t>permit</w:t>
      </w:r>
      <w:r w:rsidR="000143DF">
        <w:rPr>
          <w:rFonts w:eastAsia="Calibri" w:cs="Arial"/>
          <w:szCs w:val="22"/>
          <w:lang w:val="en-AU" w:bidi="ar-SA"/>
        </w:rPr>
        <w:t>ting:</w:t>
      </w:r>
    </w:p>
    <w:p w14:paraId="0D74D006" w14:textId="77777777" w:rsidR="000143DF" w:rsidRDefault="000143DF" w:rsidP="00B16C8E">
      <w:pPr>
        <w:widowControl/>
        <w:autoSpaceDE w:val="0"/>
        <w:autoSpaceDN w:val="0"/>
        <w:adjustRightInd w:val="0"/>
        <w:rPr>
          <w:rFonts w:eastAsia="Calibri" w:cs="Arial"/>
          <w:szCs w:val="22"/>
          <w:lang w:val="en-AU" w:bidi="ar-SA"/>
        </w:rPr>
      </w:pPr>
    </w:p>
    <w:p w14:paraId="1E4914E3" w14:textId="1FBA717B" w:rsidR="000143DF" w:rsidRPr="000143DF" w:rsidRDefault="000143DF" w:rsidP="000143DF">
      <w:pPr>
        <w:pStyle w:val="ListParagraph"/>
        <w:widowControl/>
        <w:numPr>
          <w:ilvl w:val="0"/>
          <w:numId w:val="45"/>
        </w:numPr>
        <w:autoSpaceDE w:val="0"/>
        <w:autoSpaceDN w:val="0"/>
        <w:adjustRightInd w:val="0"/>
        <w:rPr>
          <w:rFonts w:eastAsiaTheme="minorHAnsi" w:cs="Arial"/>
          <w:szCs w:val="22"/>
        </w:rPr>
      </w:pPr>
      <w:r>
        <w:rPr>
          <w:rFonts w:eastAsia="Calibri" w:cs="Arial"/>
          <w:szCs w:val="22"/>
          <w:lang w:val="en-AU" w:bidi="ar-SA"/>
        </w:rPr>
        <w:t>the voluntary use of</w:t>
      </w:r>
      <w:r w:rsidRPr="000143DF">
        <w:rPr>
          <w:rFonts w:eastAsia="Calibri" w:cs="Arial"/>
          <w:szCs w:val="22"/>
          <w:lang w:val="en-AU" w:bidi="ar-SA"/>
        </w:rPr>
        <w:t xml:space="preserve"> </w:t>
      </w:r>
      <w:r w:rsidR="00EB555F" w:rsidRPr="000143DF">
        <w:rPr>
          <w:rFonts w:eastAsia="Calibri" w:cs="Arial"/>
          <w:szCs w:val="22"/>
          <w:lang w:val="en-AU" w:bidi="ar-SA"/>
        </w:rPr>
        <w:t>genetically modified food (OBPR correspondence dated 24 November 2010, reference 12065)</w:t>
      </w:r>
      <w:r>
        <w:rPr>
          <w:rFonts w:eastAsia="Calibri" w:cs="Arial"/>
          <w:szCs w:val="22"/>
          <w:lang w:val="en-AU" w:bidi="ar-SA"/>
        </w:rPr>
        <w:t>, and</w:t>
      </w:r>
    </w:p>
    <w:p w14:paraId="74079832" w14:textId="2EE878EB" w:rsidR="000143DF" w:rsidRPr="000143DF" w:rsidRDefault="000143DF" w:rsidP="000143DF">
      <w:pPr>
        <w:pStyle w:val="ListParagraph"/>
        <w:widowControl/>
        <w:numPr>
          <w:ilvl w:val="0"/>
          <w:numId w:val="45"/>
        </w:numPr>
        <w:autoSpaceDE w:val="0"/>
        <w:autoSpaceDN w:val="0"/>
        <w:adjustRightInd w:val="0"/>
        <w:rPr>
          <w:rFonts w:eastAsiaTheme="minorHAnsi" w:cs="Arial"/>
          <w:szCs w:val="22"/>
        </w:rPr>
      </w:pPr>
      <w:r>
        <w:rPr>
          <w:rFonts w:cs="Arial"/>
          <w:lang w:val="en-AU"/>
        </w:rPr>
        <w:t>the voluntary addition of nutritive substances to foods (OBPR correspondence dated 16 April 2013, reference 14943).</w:t>
      </w:r>
    </w:p>
    <w:p w14:paraId="483C6690" w14:textId="77777777" w:rsidR="000143DF" w:rsidRDefault="000143DF" w:rsidP="000143DF">
      <w:pPr>
        <w:widowControl/>
        <w:autoSpaceDE w:val="0"/>
        <w:autoSpaceDN w:val="0"/>
        <w:adjustRightInd w:val="0"/>
        <w:rPr>
          <w:rFonts w:eastAsia="Calibri" w:cs="Arial"/>
          <w:szCs w:val="22"/>
          <w:lang w:val="en-AU" w:bidi="ar-SA"/>
        </w:rPr>
      </w:pPr>
    </w:p>
    <w:p w14:paraId="38A8D968" w14:textId="6EB59C5C" w:rsidR="00AB0275" w:rsidRPr="000143DF" w:rsidRDefault="00EB555F" w:rsidP="000143DF">
      <w:pPr>
        <w:widowControl/>
        <w:autoSpaceDE w:val="0"/>
        <w:autoSpaceDN w:val="0"/>
        <w:adjustRightInd w:val="0"/>
        <w:rPr>
          <w:rFonts w:eastAsiaTheme="minorHAnsi" w:cs="Arial"/>
          <w:szCs w:val="22"/>
        </w:rPr>
      </w:pPr>
      <w:r w:rsidRPr="000143DF">
        <w:rPr>
          <w:rFonts w:eastAsia="Calibri" w:cs="Arial"/>
          <w:szCs w:val="22"/>
          <w:lang w:val="en-AU" w:bidi="ar-SA"/>
        </w:rPr>
        <w:t>T</w:t>
      </w:r>
      <w:r w:rsidR="00AB0275" w:rsidRPr="000143DF">
        <w:rPr>
          <w:rFonts w:eastAsia="Calibri" w:cs="Arial"/>
          <w:szCs w:val="22"/>
          <w:lang w:val="en-AU" w:bidi="ar-SA"/>
        </w:rPr>
        <w:t>he</w:t>
      </w:r>
      <w:r w:rsidRPr="000143DF">
        <w:rPr>
          <w:rFonts w:eastAsia="Calibri" w:cs="Arial"/>
          <w:szCs w:val="22"/>
          <w:lang w:val="en-AU" w:bidi="ar-SA"/>
        </w:rPr>
        <w:t xml:space="preserve"> </w:t>
      </w:r>
      <w:r>
        <w:rPr>
          <w:lang w:bidi="ar-SA"/>
        </w:rPr>
        <w:t>use of soy leghemoglobin in the form of LegH Prep to meat analogue products, as permitted by the draft variation, is voluntary</w:t>
      </w:r>
      <w:r w:rsidR="00AB0275" w:rsidRPr="006C6CCA">
        <w:t xml:space="preserve">. </w:t>
      </w:r>
      <w:r w:rsidR="00874FDD">
        <w:t xml:space="preserve">In addition, </w:t>
      </w:r>
      <w:r w:rsidR="00C27441">
        <w:t>t</w:t>
      </w:r>
      <w:r w:rsidR="00874FDD" w:rsidRPr="000143DF">
        <w:rPr>
          <w:bCs/>
        </w:rPr>
        <w:t>h</w:t>
      </w:r>
      <w:r w:rsidR="0081228D" w:rsidRPr="000143DF">
        <w:rPr>
          <w:bCs/>
        </w:rPr>
        <w:t>is</w:t>
      </w:r>
      <w:r w:rsidR="00874FDD" w:rsidRPr="000143DF">
        <w:rPr>
          <w:bCs/>
        </w:rPr>
        <w:t xml:space="preserve"> permission </w:t>
      </w:r>
      <w:r w:rsidR="00874FDD" w:rsidRPr="000143DF">
        <w:rPr>
          <w:szCs w:val="22"/>
        </w:rPr>
        <w:t>is likely to have only a minor impact on business and individuals because it is</w:t>
      </w:r>
      <w:r w:rsidR="00874FDD" w:rsidRPr="000143DF">
        <w:rPr>
          <w:bCs/>
        </w:rPr>
        <w:t xml:space="preserve"> a minor, deregulatory change that allows for the introduction of a food product to the food supply </w:t>
      </w:r>
      <w:r w:rsidR="0081228D" w:rsidRPr="000143DF">
        <w:rPr>
          <w:bCs/>
        </w:rPr>
        <w:t>which</w:t>
      </w:r>
      <w:r w:rsidR="00874FDD" w:rsidRPr="000143DF">
        <w:rPr>
          <w:bCs/>
        </w:rPr>
        <w:t xml:space="preserve"> has been determined to be safe.</w:t>
      </w:r>
    </w:p>
    <w:p w14:paraId="37E2C322" w14:textId="52440AA4" w:rsidR="00AB0275" w:rsidRPr="00B51A46" w:rsidRDefault="00AB0275" w:rsidP="00B51A46">
      <w:pPr>
        <w:spacing w:before="240" w:after="240"/>
        <w:rPr>
          <w:rFonts w:eastAsiaTheme="minorHAnsi"/>
          <w:b/>
          <w:lang w:val="en-AU"/>
        </w:rPr>
      </w:pPr>
      <w:r w:rsidRPr="00B51A46">
        <w:rPr>
          <w:rFonts w:eastAsiaTheme="minorHAnsi"/>
          <w:b/>
          <w:lang w:val="en-AU"/>
        </w:rPr>
        <w:t>5.</w:t>
      </w:r>
      <w:r w:rsidRPr="00B51A46">
        <w:rPr>
          <w:rFonts w:eastAsiaTheme="minorHAnsi"/>
          <w:b/>
          <w:lang w:val="en-AU"/>
        </w:rPr>
        <w:tab/>
        <w:t>Statement of compatibility with human rights</w:t>
      </w:r>
    </w:p>
    <w:p w14:paraId="62C94B7F" w14:textId="0F6E0263" w:rsidR="00AB0275" w:rsidRDefault="00AB0275" w:rsidP="00AB0275">
      <w:pPr>
        <w:rPr>
          <w:rFonts w:eastAsiaTheme="minorHAnsi"/>
          <w:lang w:val="en-AU" w:bidi="ar-SA"/>
        </w:rPr>
      </w:pPr>
      <w:r>
        <w:rPr>
          <w:rFonts w:eastAsiaTheme="minorHAnsi"/>
          <w:lang w:val="en-AU" w:bidi="ar-SA"/>
        </w:rPr>
        <w:t xml:space="preserve">This instrument is exempt from the requirements for a statement of compatibility with human rights as it is a </w:t>
      </w:r>
      <w:r>
        <w:rPr>
          <w:rFonts w:eastAsiaTheme="minorHAnsi"/>
          <w:lang w:val="en-AU" w:bidi="ar-SA"/>
        </w:rPr>
        <w:lastRenderedPageBreak/>
        <w:t>non-disallowable instrument under section 94 of the FSANZ Act.</w:t>
      </w:r>
    </w:p>
    <w:p w14:paraId="5591A638" w14:textId="62F91BE2" w:rsidR="00AB0275" w:rsidRPr="00B51A46" w:rsidRDefault="00AB0275" w:rsidP="00B51A46">
      <w:pPr>
        <w:spacing w:before="240" w:after="240"/>
        <w:rPr>
          <w:b/>
          <w:lang w:val="en-AU"/>
        </w:rPr>
      </w:pPr>
      <w:r w:rsidRPr="00B51A46">
        <w:rPr>
          <w:b/>
        </w:rPr>
        <w:t>6.</w:t>
      </w:r>
      <w:r w:rsidRPr="00B51A46">
        <w:rPr>
          <w:b/>
        </w:rPr>
        <w:tab/>
      </w:r>
      <w:r w:rsidRPr="00B51A46">
        <w:rPr>
          <w:b/>
          <w:lang w:val="en-AU"/>
        </w:rPr>
        <w:t>Variation</w:t>
      </w:r>
    </w:p>
    <w:p w14:paraId="4FA2A030" w14:textId="41A8E0D5" w:rsidR="00AB0275" w:rsidRPr="00A9218D" w:rsidRDefault="00AB0275" w:rsidP="00AB0275">
      <w:pPr>
        <w:rPr>
          <w:b/>
        </w:rPr>
      </w:pPr>
      <w:r w:rsidRPr="00A9218D">
        <w:rPr>
          <w:b/>
          <w:i/>
        </w:rPr>
        <w:t xml:space="preserve">Item [1] </w:t>
      </w:r>
    </w:p>
    <w:p w14:paraId="33C07D42" w14:textId="77777777" w:rsidR="000F22E9" w:rsidRDefault="000F22E9" w:rsidP="007C174F"/>
    <w:p w14:paraId="4D6F7DAE" w14:textId="47BF3502" w:rsidR="00A9218D" w:rsidRDefault="006C6CCA" w:rsidP="006A1E43">
      <w:r>
        <w:t xml:space="preserve">Item </w:t>
      </w:r>
      <w:r w:rsidRPr="003F2261">
        <w:t>[1]</w:t>
      </w:r>
      <w:r>
        <w:t xml:space="preserve"> varies</w:t>
      </w:r>
      <w:r w:rsidRPr="003F2261">
        <w:t xml:space="preserve"> Standard 1.3.2 </w:t>
      </w:r>
      <w:r w:rsidR="00A21D0D">
        <w:t>by inserting</w:t>
      </w:r>
      <w:r>
        <w:t xml:space="preserve"> after section 1.3.2—7</w:t>
      </w:r>
      <w:r w:rsidR="00A9218D">
        <w:t>,</w:t>
      </w:r>
      <w:r w:rsidR="00A21D0D">
        <w:t xml:space="preserve"> new section 1.3.2—8</w:t>
      </w:r>
      <w:r w:rsidR="00565461">
        <w:t>, which</w:t>
      </w:r>
      <w:r w:rsidR="003F2261">
        <w:t xml:space="preserve"> </w:t>
      </w:r>
      <w:r w:rsidR="008A4A37">
        <w:t>lists</w:t>
      </w:r>
      <w:r w:rsidR="00A9218D">
        <w:t xml:space="preserve"> </w:t>
      </w:r>
      <w:r w:rsidR="000C0D23">
        <w:t>conditions for the permitted use of soy leghemoglobin as a nutritive substance.</w:t>
      </w:r>
      <w:r w:rsidR="00A9218D" w:rsidRPr="00A9218D">
        <w:t xml:space="preserve"> </w:t>
      </w:r>
      <w:r w:rsidR="00A9218D">
        <w:t>The conditions are:</w:t>
      </w:r>
      <w:r w:rsidR="000C0D23">
        <w:t xml:space="preserve"> </w:t>
      </w:r>
    </w:p>
    <w:p w14:paraId="42118952" w14:textId="77777777" w:rsidR="00A9218D" w:rsidRDefault="00A9218D" w:rsidP="006A1E43"/>
    <w:p w14:paraId="5DB32DD4" w14:textId="023DF515" w:rsidR="00A9218D" w:rsidRDefault="00A9218D" w:rsidP="00565461">
      <w:pPr>
        <w:pStyle w:val="ListParagraph"/>
        <w:numPr>
          <w:ilvl w:val="0"/>
          <w:numId w:val="29"/>
        </w:numPr>
      </w:pPr>
      <w:r>
        <w:t xml:space="preserve">iron in the form of </w:t>
      </w:r>
      <w:r w:rsidR="000C0D23">
        <w:t xml:space="preserve">soy leghemoglobin </w:t>
      </w:r>
      <w:r w:rsidR="001B0449">
        <w:t xml:space="preserve">must not be used </w:t>
      </w:r>
      <w:r>
        <w:t>as a nutritive substance in food other than</w:t>
      </w:r>
      <w:r w:rsidR="000C0D23">
        <w:t xml:space="preserve"> meat analogue products to which section S17—4 applies</w:t>
      </w:r>
      <w:r>
        <w:t>; and</w:t>
      </w:r>
    </w:p>
    <w:p w14:paraId="434667A6" w14:textId="41E877A0" w:rsidR="006C6CCA" w:rsidRDefault="00565461" w:rsidP="00565461">
      <w:pPr>
        <w:pStyle w:val="ListParagraph"/>
        <w:numPr>
          <w:ilvl w:val="0"/>
          <w:numId w:val="29"/>
        </w:numPr>
      </w:pPr>
      <w:r w:rsidRPr="00565461">
        <w:t xml:space="preserve">soy leghemoglobin must not be present in a meat analogue product in its raw state at a </w:t>
      </w:r>
      <w:r>
        <w:t>concentration greater than 0.8%</w:t>
      </w:r>
      <w:r w:rsidR="000C0D23">
        <w:t>.</w:t>
      </w:r>
    </w:p>
    <w:p w14:paraId="32357736" w14:textId="6304B7EA" w:rsidR="000C0D23" w:rsidRDefault="000C0D23" w:rsidP="006A1E43"/>
    <w:p w14:paraId="765B6B98" w14:textId="471853E3" w:rsidR="000C0D23" w:rsidRPr="00565461" w:rsidRDefault="000C0D23" w:rsidP="000C0D23">
      <w:pPr>
        <w:rPr>
          <w:b/>
        </w:rPr>
      </w:pPr>
      <w:r w:rsidRPr="00565461">
        <w:rPr>
          <w:b/>
          <w:i/>
        </w:rPr>
        <w:t xml:space="preserve">Item [2] </w:t>
      </w:r>
    </w:p>
    <w:p w14:paraId="471075F5" w14:textId="77777777" w:rsidR="000C0D23" w:rsidRDefault="000C0D23" w:rsidP="006A1E43"/>
    <w:p w14:paraId="4E9C6511" w14:textId="45F71DEF" w:rsidR="00A01C75" w:rsidRDefault="00A01C75" w:rsidP="007C174F">
      <w:r>
        <w:t>Item [2] makes the following amendments to Schedule 3.</w:t>
      </w:r>
    </w:p>
    <w:p w14:paraId="344441C0" w14:textId="77777777" w:rsidR="00A01C75" w:rsidRDefault="00A01C75" w:rsidP="007C174F"/>
    <w:p w14:paraId="5C2C2D1E" w14:textId="63E1F6D5" w:rsidR="006C6CCA" w:rsidRDefault="006C728E" w:rsidP="007C174F">
      <w:r>
        <w:t>Sub-item</w:t>
      </w:r>
      <w:r w:rsidR="000C0D23">
        <w:t xml:space="preserve"> [2</w:t>
      </w:r>
      <w:r w:rsidR="00F151B5">
        <w:t>.1</w:t>
      </w:r>
      <w:r w:rsidR="000C0D23">
        <w:t xml:space="preserve">] varies </w:t>
      </w:r>
      <w:r w:rsidR="00F151B5" w:rsidRPr="00A605C6">
        <w:t>Note 1</w:t>
      </w:r>
      <w:r w:rsidR="00F151B5">
        <w:t xml:space="preserve"> </w:t>
      </w:r>
      <w:r w:rsidR="00A01C75">
        <w:t xml:space="preserve">of Schedule 3 by omitting </w:t>
      </w:r>
      <w:r w:rsidR="00F151B5" w:rsidRPr="00A605C6">
        <w:t xml:space="preserve">the words </w:t>
      </w:r>
      <w:r w:rsidR="007E6827">
        <w:t>‘</w:t>
      </w:r>
      <w:r w:rsidR="00F151B5" w:rsidRPr="00A605C6">
        <w:t>Section 1.1.1—15 requires</w:t>
      </w:r>
      <w:r w:rsidR="007E6827">
        <w:t>’</w:t>
      </w:r>
      <w:r w:rsidR="007E6827" w:rsidRPr="00A605C6">
        <w:t>,</w:t>
      </w:r>
      <w:r w:rsidR="007E6827">
        <w:t xml:space="preserve"> </w:t>
      </w:r>
      <w:r w:rsidR="00F151B5">
        <w:t>and</w:t>
      </w:r>
      <w:r w:rsidR="00F151B5" w:rsidRPr="00A605C6">
        <w:t xml:space="preserve"> substituting </w:t>
      </w:r>
      <w:r w:rsidR="007E6827">
        <w:t>‘</w:t>
      </w:r>
      <w:r w:rsidR="00F151B5" w:rsidRPr="006A1E43">
        <w:rPr>
          <w:rFonts w:cs="Arial"/>
          <w:szCs w:val="22"/>
        </w:rPr>
        <w:t>Section</w:t>
      </w:r>
      <w:r w:rsidR="00263E81">
        <w:rPr>
          <w:rFonts w:cs="Arial"/>
          <w:szCs w:val="22"/>
        </w:rPr>
        <w:t>s</w:t>
      </w:r>
      <w:r w:rsidR="00F151B5" w:rsidRPr="006A1E43">
        <w:rPr>
          <w:rFonts w:cs="Arial"/>
          <w:szCs w:val="22"/>
        </w:rPr>
        <w:t xml:space="preserve"> 1.1.1—15 and </w:t>
      </w:r>
      <w:r w:rsidR="00F151B5" w:rsidRPr="00F151B5">
        <w:rPr>
          <w:szCs w:val="22"/>
        </w:rPr>
        <w:t>S</w:t>
      </w:r>
      <w:r w:rsidR="00F151B5" w:rsidRPr="00A605C6">
        <w:t>26—</w:t>
      </w:r>
      <w:r w:rsidR="007E6827">
        <w:t>3</w:t>
      </w:r>
      <w:r w:rsidR="00263E81">
        <w:t xml:space="preserve"> </w:t>
      </w:r>
      <w:r w:rsidR="007E6827">
        <w:t>require’</w:t>
      </w:r>
      <w:r w:rsidR="007A2BE6">
        <w:t xml:space="preserve">. The effect of this amendment is </w:t>
      </w:r>
      <w:r w:rsidR="00140B5F">
        <w:t xml:space="preserve">to explain </w:t>
      </w:r>
      <w:r w:rsidR="007A2BE6">
        <w:t>that</w:t>
      </w:r>
      <w:r w:rsidR="007A2BE6" w:rsidRPr="00A605C6">
        <w:t xml:space="preserve"> </w:t>
      </w:r>
      <w:r w:rsidR="00140B5F">
        <w:rPr>
          <w:rFonts w:cs="Arial"/>
          <w:szCs w:val="22"/>
        </w:rPr>
        <w:t xml:space="preserve">section </w:t>
      </w:r>
      <w:r w:rsidR="00140B5F" w:rsidRPr="00F151B5">
        <w:rPr>
          <w:szCs w:val="22"/>
        </w:rPr>
        <w:t>S</w:t>
      </w:r>
      <w:r w:rsidR="00140B5F" w:rsidRPr="00A605C6">
        <w:t>26—</w:t>
      </w:r>
      <w:r w:rsidR="00140B5F">
        <w:t>3</w:t>
      </w:r>
      <w:r w:rsidR="00263E81">
        <w:t xml:space="preserve"> </w:t>
      </w:r>
      <w:r w:rsidR="00163017">
        <w:t>requires ce</w:t>
      </w:r>
      <w:r w:rsidR="00263E81">
        <w:t>rtain</w:t>
      </w:r>
      <w:r w:rsidR="00140B5F">
        <w:t xml:space="preserve"> </w:t>
      </w:r>
      <w:r w:rsidR="00507DE3">
        <w:t>food produced using gene technology</w:t>
      </w:r>
      <w:r w:rsidR="00263E81">
        <w:t>,</w:t>
      </w:r>
      <w:r w:rsidR="007E6827">
        <w:t xml:space="preserve"> </w:t>
      </w:r>
      <w:r w:rsidR="00BD0246">
        <w:t>for example—</w:t>
      </w:r>
      <w:r w:rsidR="00507DE3">
        <w:t>soy leghemoglobin</w:t>
      </w:r>
      <w:r w:rsidR="00BD0246">
        <w:t xml:space="preserve">, </w:t>
      </w:r>
      <w:r w:rsidR="00163017">
        <w:t>to</w:t>
      </w:r>
      <w:r w:rsidR="00140B5F">
        <w:t xml:space="preserve"> </w:t>
      </w:r>
      <w:r w:rsidR="00507DE3">
        <w:t xml:space="preserve">comply with </w:t>
      </w:r>
      <w:r w:rsidR="003200CF">
        <w:t xml:space="preserve">any </w:t>
      </w:r>
      <w:r w:rsidR="00507DE3">
        <w:t>relevant specifications in Schedule 3.</w:t>
      </w:r>
      <w:r w:rsidR="00140B5F">
        <w:t xml:space="preserve"> This is in addition to the </w:t>
      </w:r>
      <w:r w:rsidR="00B35FFE">
        <w:t xml:space="preserve">same </w:t>
      </w:r>
      <w:r w:rsidR="00140B5F">
        <w:t xml:space="preserve">requirement in section 1.1.1—15 </w:t>
      </w:r>
      <w:r w:rsidR="00B35FFE">
        <w:t>applying to</w:t>
      </w:r>
      <w:r w:rsidR="00140B5F">
        <w:t xml:space="preserve"> other types of </w:t>
      </w:r>
      <w:r w:rsidR="003200CF">
        <w:t>substances</w:t>
      </w:r>
      <w:r w:rsidR="00140B5F">
        <w:t>.</w:t>
      </w:r>
    </w:p>
    <w:p w14:paraId="4E9125E2" w14:textId="675C3A1C" w:rsidR="00DB11CF" w:rsidRDefault="00DB11CF" w:rsidP="007C174F"/>
    <w:p w14:paraId="582E425A" w14:textId="72D4FED8" w:rsidR="00DB11CF" w:rsidRDefault="00DB11CF" w:rsidP="007C174F">
      <w:r>
        <w:t xml:space="preserve">This amendment is consequential to the amendments </w:t>
      </w:r>
      <w:r w:rsidR="001A743B">
        <w:t xml:space="preserve">made </w:t>
      </w:r>
      <w:r>
        <w:t xml:space="preserve">to the table to subsection S26—3(7) in </w:t>
      </w:r>
      <w:r w:rsidR="00C4738E">
        <w:t>sub-item</w:t>
      </w:r>
      <w:r>
        <w:t xml:space="preserve"> </w:t>
      </w:r>
      <w:r w:rsidR="00C4738E">
        <w:t>[</w:t>
      </w:r>
      <w:r>
        <w:t>4</w:t>
      </w:r>
      <w:r w:rsidR="00C4738E">
        <w:t>.2]</w:t>
      </w:r>
      <w:r>
        <w:t xml:space="preserve"> below.</w:t>
      </w:r>
    </w:p>
    <w:p w14:paraId="495D7B73" w14:textId="589C2567" w:rsidR="00507DE3" w:rsidRDefault="00507DE3" w:rsidP="007C174F"/>
    <w:p w14:paraId="27F1EC50" w14:textId="00EC05FA" w:rsidR="008F2929" w:rsidRDefault="006C728E" w:rsidP="007C174F">
      <w:r>
        <w:t>Sub-item</w:t>
      </w:r>
      <w:r w:rsidR="008F2929">
        <w:t xml:space="preserve"> [2.2] varies </w:t>
      </w:r>
      <w:r w:rsidR="001A2F48">
        <w:t>the table to subsection S3—2(2)</w:t>
      </w:r>
      <w:r w:rsidR="008F2929">
        <w:t xml:space="preserve"> by inserting </w:t>
      </w:r>
      <w:r w:rsidR="001A2F48">
        <w:t>the substance ‘</w:t>
      </w:r>
      <w:r w:rsidR="008F2929">
        <w:t>soy leghemoglobin preparation</w:t>
      </w:r>
      <w:r w:rsidR="001A2F48">
        <w:t xml:space="preserve">’ in column 1 of the table in alphabetical order, </w:t>
      </w:r>
      <w:r w:rsidR="008F2929">
        <w:t xml:space="preserve">and </w:t>
      </w:r>
      <w:r w:rsidR="001A2F48">
        <w:t>‘s</w:t>
      </w:r>
      <w:r w:rsidR="008F2929">
        <w:t>ection S3—42</w:t>
      </w:r>
      <w:r w:rsidR="001A2F48">
        <w:t xml:space="preserve">’ as the corresponding provision in column 2 of the </w:t>
      </w:r>
      <w:r w:rsidR="008F2929">
        <w:t>table.</w:t>
      </w:r>
    </w:p>
    <w:p w14:paraId="31055995" w14:textId="77777777" w:rsidR="008F2929" w:rsidRDefault="008F2929" w:rsidP="007C174F"/>
    <w:p w14:paraId="7953D78D" w14:textId="07889F77" w:rsidR="00507DE3" w:rsidRDefault="006C728E" w:rsidP="007C174F">
      <w:r>
        <w:t>Sub-item</w:t>
      </w:r>
      <w:r w:rsidR="00507DE3">
        <w:t xml:space="preserve"> [2.</w:t>
      </w:r>
      <w:r w:rsidR="008F2929">
        <w:t>3</w:t>
      </w:r>
      <w:r w:rsidR="00507DE3">
        <w:t xml:space="preserve">] varies Schedule 3 </w:t>
      </w:r>
      <w:r w:rsidR="008F2929">
        <w:t>by</w:t>
      </w:r>
      <w:r w:rsidR="00507DE3">
        <w:t xml:space="preserve"> insert</w:t>
      </w:r>
      <w:r w:rsidR="008F2929">
        <w:t>ing</w:t>
      </w:r>
      <w:r w:rsidR="005B4114">
        <w:t xml:space="preserve"> a new section S3</w:t>
      </w:r>
      <w:r w:rsidR="005B4114">
        <w:rPr>
          <w:rFonts w:ascii="Helvetica Neue" w:hAnsi="Helvetica Neue"/>
          <w:sz w:val="19"/>
          <w:szCs w:val="19"/>
        </w:rPr>
        <w:t>—</w:t>
      </w:r>
      <w:r w:rsidR="005B4114">
        <w:t>42</w:t>
      </w:r>
      <w:r w:rsidR="008F2929">
        <w:t xml:space="preserve"> after section S3—41</w:t>
      </w:r>
      <w:r w:rsidR="001A2F48">
        <w:t>. The new section sets out</w:t>
      </w:r>
      <w:r w:rsidR="008F2929">
        <w:t xml:space="preserve"> </w:t>
      </w:r>
      <w:r w:rsidR="00507DE3">
        <w:t xml:space="preserve">specifications for </w:t>
      </w:r>
      <w:r w:rsidR="008F2929">
        <w:t xml:space="preserve">a </w:t>
      </w:r>
      <w:r w:rsidR="00507DE3">
        <w:t xml:space="preserve">soy leghemoglobin </w:t>
      </w:r>
      <w:r w:rsidR="008F2929">
        <w:t>preparation</w:t>
      </w:r>
      <w:r w:rsidR="00507DE3">
        <w:t>.</w:t>
      </w:r>
      <w:r w:rsidR="008F2929">
        <w:t xml:space="preserve"> A note is also included </w:t>
      </w:r>
      <w:r w:rsidR="001A2F48">
        <w:t xml:space="preserve">explaining </w:t>
      </w:r>
      <w:r w:rsidR="008F2929">
        <w:t xml:space="preserve">that </w:t>
      </w:r>
      <w:r w:rsidR="001A2F48">
        <w:t xml:space="preserve">subsections </w:t>
      </w:r>
      <w:r w:rsidR="008F2929">
        <w:t xml:space="preserve">S26—3(5) and (7) require </w:t>
      </w:r>
      <w:r w:rsidR="004D41F4">
        <w:t xml:space="preserve">a </w:t>
      </w:r>
      <w:r w:rsidR="008F2929">
        <w:t xml:space="preserve">soy leghemoglobin preparation </w:t>
      </w:r>
      <w:r w:rsidR="001A2F48">
        <w:t xml:space="preserve">to </w:t>
      </w:r>
      <w:r w:rsidR="008F2929">
        <w:t>comply with the specification</w:t>
      </w:r>
      <w:r w:rsidR="006669B5">
        <w:t>s</w:t>
      </w:r>
      <w:r w:rsidR="008F2929">
        <w:t xml:space="preserve"> set out in </w:t>
      </w:r>
      <w:r w:rsidR="004D41F4">
        <w:t>section S3</w:t>
      </w:r>
      <w:r w:rsidR="004D41F4">
        <w:rPr>
          <w:rFonts w:ascii="Helvetica Neue" w:hAnsi="Helvetica Neue"/>
          <w:sz w:val="19"/>
          <w:szCs w:val="19"/>
        </w:rPr>
        <w:t>—</w:t>
      </w:r>
      <w:r w:rsidR="004D41F4">
        <w:t>42</w:t>
      </w:r>
      <w:r w:rsidR="008F2929">
        <w:t>.</w:t>
      </w:r>
    </w:p>
    <w:p w14:paraId="0FEA6C94" w14:textId="3B79933B" w:rsidR="00507DE3" w:rsidRDefault="00507DE3" w:rsidP="007C174F"/>
    <w:p w14:paraId="2BDF3920" w14:textId="4BB51ED3" w:rsidR="008F2929" w:rsidRDefault="008F2929" w:rsidP="007C174F">
      <w:pPr>
        <w:rPr>
          <w:b/>
          <w:i/>
        </w:rPr>
      </w:pPr>
      <w:r w:rsidRPr="00565461">
        <w:rPr>
          <w:b/>
          <w:i/>
        </w:rPr>
        <w:t>Item [3]</w:t>
      </w:r>
    </w:p>
    <w:p w14:paraId="7E6C6E13" w14:textId="77777777" w:rsidR="00A86D33" w:rsidRPr="00565461" w:rsidRDefault="00A86D33" w:rsidP="007C174F">
      <w:pPr>
        <w:rPr>
          <w:b/>
        </w:rPr>
      </w:pPr>
    </w:p>
    <w:p w14:paraId="4CB09B2D" w14:textId="45919DD1" w:rsidR="008F2929" w:rsidRDefault="0075407E" w:rsidP="007C174F">
      <w:r>
        <w:t>Sub-item</w:t>
      </w:r>
      <w:r w:rsidR="008F2929">
        <w:t xml:space="preserve"> [3.1] varies </w:t>
      </w:r>
      <w:r w:rsidR="006669B5">
        <w:t xml:space="preserve">the table to subsection S17—3 </w:t>
      </w:r>
      <w:r w:rsidR="008F2929">
        <w:t xml:space="preserve">by </w:t>
      </w:r>
      <w:r w:rsidR="00D969BA">
        <w:t xml:space="preserve">inserting </w:t>
      </w:r>
      <w:r w:rsidR="006669B5">
        <w:t xml:space="preserve">‘Soy </w:t>
      </w:r>
      <w:r w:rsidR="00D969BA">
        <w:t xml:space="preserve">leghemoglobin in a soy leghemoglobin preparation that is listed in Schedule 26 and complies with any corresponding conditions listed in that </w:t>
      </w:r>
      <w:r w:rsidR="006669B5">
        <w:t>S</w:t>
      </w:r>
      <w:r w:rsidR="00D969BA">
        <w:t>chedule</w:t>
      </w:r>
      <w:r w:rsidR="006669B5">
        <w:t xml:space="preserve">’, </w:t>
      </w:r>
      <w:r w:rsidR="00D969BA">
        <w:t xml:space="preserve">alphabetically into Column 2 of the table </w:t>
      </w:r>
      <w:r w:rsidR="006A1E43">
        <w:t>under the</w:t>
      </w:r>
      <w:r w:rsidR="006669B5">
        <w:t xml:space="preserve"> entry for</w:t>
      </w:r>
      <w:r w:rsidR="00DC565B">
        <w:t xml:space="preserve"> the mineral</w:t>
      </w:r>
      <w:r w:rsidR="006A1E43">
        <w:t xml:space="preserve"> </w:t>
      </w:r>
      <w:r w:rsidR="00D969BA">
        <w:t>‘Iron’</w:t>
      </w:r>
      <w:r w:rsidR="006A1E43">
        <w:t xml:space="preserve"> </w:t>
      </w:r>
      <w:r w:rsidR="006669B5">
        <w:t xml:space="preserve">in </w:t>
      </w:r>
      <w:r w:rsidR="006A1E43">
        <w:t>column</w:t>
      </w:r>
      <w:r w:rsidR="006669B5">
        <w:t xml:space="preserve"> 1 of the table</w:t>
      </w:r>
      <w:r w:rsidR="00D969BA">
        <w:t>.</w:t>
      </w:r>
    </w:p>
    <w:p w14:paraId="1A7078B1" w14:textId="0C1362BC" w:rsidR="00EB7151" w:rsidRDefault="00EB7151" w:rsidP="007C174F"/>
    <w:p w14:paraId="5EBF8336" w14:textId="7A2E9F66" w:rsidR="00EB7151" w:rsidRDefault="00EB7151" w:rsidP="007C174F">
      <w:r>
        <w:t xml:space="preserve">The effect of this amendment is that this </w:t>
      </w:r>
      <w:r w:rsidRPr="000E3ED4">
        <w:rPr>
          <w:i/>
        </w:rPr>
        <w:t>particula</w:t>
      </w:r>
      <w:r>
        <w:t>r soy leghemoglobin is a permitted form of iron for the purposes of subsection S17—3</w:t>
      </w:r>
      <w:r w:rsidR="003F2439">
        <w:t>.</w:t>
      </w:r>
      <w:r>
        <w:t xml:space="preserve"> </w:t>
      </w:r>
    </w:p>
    <w:p w14:paraId="12179D9F" w14:textId="7B2C9CBC" w:rsidR="00D969BA" w:rsidRDefault="00D969BA" w:rsidP="007C174F"/>
    <w:p w14:paraId="7CC8A6C2" w14:textId="0AFEACA1" w:rsidR="00171614" w:rsidRDefault="0075407E" w:rsidP="00D969BA">
      <w:pPr>
        <w:rPr>
          <w:lang w:val="en-AU"/>
        </w:rPr>
      </w:pPr>
      <w:r>
        <w:t>Sub-item</w:t>
      </w:r>
      <w:r w:rsidR="00D969BA">
        <w:t xml:space="preserve"> [3.2] varies </w:t>
      </w:r>
      <w:r w:rsidR="002D7FDC" w:rsidRPr="002D7FDC">
        <w:t>the table to section S17—4</w:t>
      </w:r>
      <w:r w:rsidR="002D7FDC">
        <w:t xml:space="preserve"> </w:t>
      </w:r>
      <w:r w:rsidR="00D969BA">
        <w:t>under the heading ‘</w:t>
      </w:r>
      <w:r w:rsidR="002D7FDC">
        <w:t xml:space="preserve">Analogues </w:t>
      </w:r>
      <w:r w:rsidR="00D969BA">
        <w:t>derived from legumes’</w:t>
      </w:r>
      <w:r w:rsidR="002D7FDC">
        <w:t xml:space="preserve"> by</w:t>
      </w:r>
      <w:r w:rsidR="00D969BA">
        <w:t xml:space="preserve"> omitting </w:t>
      </w:r>
      <w:r w:rsidR="00A0003F">
        <w:t>‘</w:t>
      </w:r>
      <w:r w:rsidR="00D969BA" w:rsidRPr="006A1E43">
        <w:rPr>
          <w:lang w:val="en-AU"/>
        </w:rPr>
        <w:t>Analogues of meat, where no less than 12% of the energy value of the food is derived from protein, and the food contains 5 g protein per serve of the food</w:t>
      </w:r>
      <w:r w:rsidR="00A0003F">
        <w:rPr>
          <w:lang w:val="en-AU"/>
        </w:rPr>
        <w:t>’</w:t>
      </w:r>
      <w:r w:rsidR="00D969BA">
        <w:rPr>
          <w:lang w:val="en-AU"/>
        </w:rPr>
        <w:t xml:space="preserve"> and substituting with, ‘</w:t>
      </w:r>
      <w:r w:rsidR="00D969BA" w:rsidRPr="006A1E43">
        <w:rPr>
          <w:lang w:val="en-AU"/>
        </w:rPr>
        <w:t>Analogues of meat, where no less than 12% of the energy value of the food is derived from protein, and the food contains no less than 5 g protein per serve of the food</w:t>
      </w:r>
      <w:r w:rsidR="00D969BA">
        <w:rPr>
          <w:lang w:val="en-AU"/>
        </w:rPr>
        <w:t>’.</w:t>
      </w:r>
      <w:r w:rsidR="002D7FDC">
        <w:rPr>
          <w:lang w:val="en-AU"/>
        </w:rPr>
        <w:t xml:space="preserve"> </w:t>
      </w:r>
    </w:p>
    <w:p w14:paraId="4E349BD1" w14:textId="77777777" w:rsidR="00171614" w:rsidRDefault="00171614" w:rsidP="00D969BA">
      <w:pPr>
        <w:rPr>
          <w:lang w:val="en-AU"/>
        </w:rPr>
      </w:pPr>
    </w:p>
    <w:p w14:paraId="1F03C72B" w14:textId="37556290" w:rsidR="00905ED0" w:rsidRDefault="002D7FDC" w:rsidP="00D969BA">
      <w:r>
        <w:rPr>
          <w:lang w:val="en-AU"/>
        </w:rPr>
        <w:t>The effect of th</w:t>
      </w:r>
      <w:r w:rsidR="00171614">
        <w:rPr>
          <w:lang w:val="en-AU"/>
        </w:rPr>
        <w:t>e</w:t>
      </w:r>
      <w:r>
        <w:rPr>
          <w:lang w:val="en-AU"/>
        </w:rPr>
        <w:t xml:space="preserve"> amendment </w:t>
      </w:r>
      <w:r w:rsidR="00171614">
        <w:rPr>
          <w:lang w:val="en-AU"/>
        </w:rPr>
        <w:t xml:space="preserve">in item [3.2] </w:t>
      </w:r>
      <w:r>
        <w:rPr>
          <w:lang w:val="en-AU"/>
        </w:rPr>
        <w:t>is that the vitamins and minerals</w:t>
      </w:r>
      <w:r w:rsidR="00905ED0">
        <w:rPr>
          <w:lang w:val="en-AU"/>
        </w:rPr>
        <w:t xml:space="preserve"> (and their corresponding maximum claim amounts)</w:t>
      </w:r>
      <w:r>
        <w:rPr>
          <w:lang w:val="en-AU"/>
        </w:rPr>
        <w:t xml:space="preserve"> </w:t>
      </w:r>
      <w:r w:rsidR="00905ED0">
        <w:rPr>
          <w:lang w:val="en-AU"/>
        </w:rPr>
        <w:t xml:space="preserve">listed </w:t>
      </w:r>
      <w:r>
        <w:rPr>
          <w:lang w:val="en-AU"/>
        </w:rPr>
        <w:t>for analogues of meat under the heading ‘</w:t>
      </w:r>
      <w:r>
        <w:t xml:space="preserve">Analogues derived from legumes’ </w:t>
      </w:r>
      <w:r w:rsidR="00905ED0">
        <w:t>in the table</w:t>
      </w:r>
      <w:r w:rsidR="00D63BE1" w:rsidRPr="00D63BE1">
        <w:t xml:space="preserve"> </w:t>
      </w:r>
      <w:r w:rsidR="00D63BE1" w:rsidRPr="002D7FDC">
        <w:t>to section S17—4</w:t>
      </w:r>
      <w:r w:rsidR="00E37CBA">
        <w:t>,</w:t>
      </w:r>
      <w:r w:rsidR="00905ED0">
        <w:t xml:space="preserve"> </w:t>
      </w:r>
      <w:r w:rsidR="00836D1C">
        <w:t xml:space="preserve">will now </w:t>
      </w:r>
      <w:r w:rsidR="00905ED0">
        <w:t>relate to</w:t>
      </w:r>
      <w:r>
        <w:t xml:space="preserve"> analogues of meat </w:t>
      </w:r>
      <w:r w:rsidR="00905ED0">
        <w:t>with the following properties:</w:t>
      </w:r>
    </w:p>
    <w:p w14:paraId="4193F025" w14:textId="77777777" w:rsidR="00905ED0" w:rsidRDefault="00905ED0" w:rsidP="00D969BA"/>
    <w:p w14:paraId="7E34B615" w14:textId="77777777" w:rsidR="00905ED0" w:rsidRDefault="002D7FDC" w:rsidP="00905ED0">
      <w:pPr>
        <w:pStyle w:val="ListParagraph"/>
        <w:numPr>
          <w:ilvl w:val="0"/>
          <w:numId w:val="30"/>
        </w:numPr>
      </w:pPr>
      <w:r w:rsidRPr="002D7FDC">
        <w:t>no less than 12% of the energy value of the food is derived from protein</w:t>
      </w:r>
      <w:r w:rsidR="00905ED0">
        <w:t>;</w:t>
      </w:r>
      <w:r w:rsidRPr="002D7FDC">
        <w:t xml:space="preserve"> and </w:t>
      </w:r>
    </w:p>
    <w:p w14:paraId="30C47C62" w14:textId="77777777" w:rsidR="00905ED0" w:rsidRPr="00905ED0" w:rsidRDefault="002D7FDC" w:rsidP="00905ED0">
      <w:pPr>
        <w:pStyle w:val="ListParagraph"/>
        <w:numPr>
          <w:ilvl w:val="0"/>
          <w:numId w:val="30"/>
        </w:numPr>
        <w:rPr>
          <w:lang w:val="en-AU"/>
        </w:rPr>
      </w:pPr>
      <w:r w:rsidRPr="002D7FDC">
        <w:t xml:space="preserve">the food contains </w:t>
      </w:r>
      <w:r w:rsidRPr="00905ED0">
        <w:rPr>
          <w:i/>
          <w:lang w:val="en-AU"/>
        </w:rPr>
        <w:t>no less than</w:t>
      </w:r>
      <w:r w:rsidRPr="00905ED0">
        <w:rPr>
          <w:lang w:val="en-AU"/>
        </w:rPr>
        <w:t xml:space="preserve"> </w:t>
      </w:r>
      <w:r w:rsidRPr="002D7FDC">
        <w:t>5 g protein per serve of the food</w:t>
      </w:r>
      <w:r w:rsidRPr="00905ED0">
        <w:rPr>
          <w:lang w:val="en-AU"/>
        </w:rPr>
        <w:t xml:space="preserve">. </w:t>
      </w:r>
    </w:p>
    <w:p w14:paraId="6D5C63F7" w14:textId="77777777" w:rsidR="00905ED0" w:rsidRDefault="00905ED0" w:rsidP="00D969BA">
      <w:pPr>
        <w:rPr>
          <w:lang w:val="en-AU"/>
        </w:rPr>
      </w:pPr>
    </w:p>
    <w:p w14:paraId="7985D37A" w14:textId="2309C31A" w:rsidR="00D969BA" w:rsidRPr="00565461" w:rsidRDefault="00A0003F" w:rsidP="007C174F">
      <w:pPr>
        <w:rPr>
          <w:b/>
          <w:i/>
        </w:rPr>
      </w:pPr>
      <w:r w:rsidRPr="00565461">
        <w:rPr>
          <w:b/>
          <w:i/>
        </w:rPr>
        <w:t>Item [4]</w:t>
      </w:r>
    </w:p>
    <w:p w14:paraId="488E7072" w14:textId="05CFFDE0" w:rsidR="00A0003F" w:rsidRDefault="00A0003F" w:rsidP="007C174F"/>
    <w:p w14:paraId="6735573F" w14:textId="74122854" w:rsidR="0049187B" w:rsidRDefault="004B39CD" w:rsidP="007C174F">
      <w:r>
        <w:t>Sub-item</w:t>
      </w:r>
      <w:r w:rsidR="00A0003F">
        <w:t xml:space="preserve"> [4.1] varies </w:t>
      </w:r>
      <w:r w:rsidR="00E37CBA">
        <w:t xml:space="preserve">subsection S26—2(2) </w:t>
      </w:r>
      <w:r w:rsidR="00A0003F">
        <w:t xml:space="preserve">by inserting the definition for </w:t>
      </w:r>
      <w:r w:rsidR="00E37CBA">
        <w:t>‘</w:t>
      </w:r>
      <w:r w:rsidR="00A0003F">
        <w:t>soy leghemoglobin preparation</w:t>
      </w:r>
      <w:r w:rsidR="00E37CBA">
        <w:t>’</w:t>
      </w:r>
      <w:r w:rsidR="00A0003F">
        <w:t xml:space="preserve"> into </w:t>
      </w:r>
      <w:r w:rsidR="00E37CBA">
        <w:t xml:space="preserve">that </w:t>
      </w:r>
      <w:r w:rsidR="00A0003F">
        <w:t xml:space="preserve">subsection, in alphabetical order. </w:t>
      </w:r>
      <w:r w:rsidR="00E37CBA">
        <w:t>‘S</w:t>
      </w:r>
      <w:r w:rsidR="00A0003F">
        <w:t>oy leghemoglobin preparation</w:t>
      </w:r>
      <w:r w:rsidR="00E37CBA">
        <w:t>’</w:t>
      </w:r>
      <w:r w:rsidR="00A0003F">
        <w:t xml:space="preserve"> is</w:t>
      </w:r>
      <w:r w:rsidR="00CD4D40">
        <w:t xml:space="preserve"> defined as</w:t>
      </w:r>
      <w:r w:rsidR="00A0003F">
        <w:t xml:space="preserve"> a cell lysate preparation </w:t>
      </w:r>
      <w:r w:rsidR="00E37CBA">
        <w:t xml:space="preserve">with </w:t>
      </w:r>
      <w:r w:rsidR="00072543">
        <w:t>the following c</w:t>
      </w:r>
      <w:r w:rsidR="00E37CBA">
        <w:t>omponents</w:t>
      </w:r>
      <w:r w:rsidR="0049187B">
        <w:t>—the preparation</w:t>
      </w:r>
      <w:r w:rsidR="00E37CBA">
        <w:t>:</w:t>
      </w:r>
    </w:p>
    <w:p w14:paraId="23C6C123" w14:textId="77777777" w:rsidR="0049187B" w:rsidRDefault="0049187B" w:rsidP="007C174F"/>
    <w:p w14:paraId="69E0BB9B" w14:textId="65842371" w:rsidR="0049187B" w:rsidRDefault="0049187B" w:rsidP="000E20ED">
      <w:pPr>
        <w:pStyle w:val="ListParagraph"/>
        <w:numPr>
          <w:ilvl w:val="0"/>
          <w:numId w:val="31"/>
        </w:numPr>
      </w:pPr>
      <w:r>
        <w:t>derive</w:t>
      </w:r>
      <w:r w:rsidR="001B25AB">
        <w:t>s</w:t>
      </w:r>
      <w:r>
        <w:t xml:space="preserve"> from </w:t>
      </w:r>
      <w:r w:rsidRPr="0049187B">
        <w:rPr>
          <w:rFonts w:eastAsia="Calibri"/>
          <w:i/>
          <w:lang w:val="en-AU"/>
        </w:rPr>
        <w:t>Pichia Pastoris</w:t>
      </w:r>
      <w:r w:rsidRPr="0049187B">
        <w:rPr>
          <w:rFonts w:eastAsia="Calibri"/>
          <w:lang w:val="en-AU"/>
        </w:rPr>
        <w:t xml:space="preserve"> containing the gene for leghemoglobin c2 from </w:t>
      </w:r>
      <w:r w:rsidRPr="0049187B">
        <w:rPr>
          <w:rFonts w:eastAsia="Calibri"/>
          <w:i/>
          <w:lang w:val="en-AU"/>
        </w:rPr>
        <w:t>Glycine</w:t>
      </w:r>
      <w:r w:rsidR="00A4093E">
        <w:rPr>
          <w:rFonts w:eastAsia="Calibri"/>
          <w:i/>
          <w:lang w:val="en-AU"/>
        </w:rPr>
        <w:t xml:space="preserve"> max</w:t>
      </w:r>
      <w:r w:rsidRPr="0049187B">
        <w:rPr>
          <w:rFonts w:eastAsia="Calibri"/>
          <w:lang w:val="en-AU"/>
        </w:rPr>
        <w:t xml:space="preserve">; </w:t>
      </w:r>
      <w:r w:rsidR="0011100E">
        <w:t xml:space="preserve">and </w:t>
      </w:r>
    </w:p>
    <w:p w14:paraId="174B3499" w14:textId="4ADEC9C8" w:rsidR="00A0003F" w:rsidRDefault="0049187B" w:rsidP="000E20ED">
      <w:pPr>
        <w:pStyle w:val="ListParagraph"/>
        <w:numPr>
          <w:ilvl w:val="0"/>
          <w:numId w:val="31"/>
        </w:numPr>
      </w:pPr>
      <w:r>
        <w:t>contains</w:t>
      </w:r>
      <w:r w:rsidR="0011100E">
        <w:t xml:space="preserve"> soy leghemoglobin.</w:t>
      </w:r>
    </w:p>
    <w:p w14:paraId="24CB7084" w14:textId="074E3710" w:rsidR="0011100E" w:rsidRDefault="0011100E" w:rsidP="007C174F"/>
    <w:p w14:paraId="019C54D7" w14:textId="0BB8F27C" w:rsidR="0085410B" w:rsidRDefault="004B39CD" w:rsidP="007C174F">
      <w:r>
        <w:t>Sub-item</w:t>
      </w:r>
      <w:r w:rsidR="0011100E">
        <w:t xml:space="preserve"> [4.2] </w:t>
      </w:r>
      <w:r w:rsidR="001E6C48">
        <w:t xml:space="preserve">varies </w:t>
      </w:r>
      <w:r w:rsidR="001B25AB">
        <w:t xml:space="preserve">the table </w:t>
      </w:r>
      <w:r w:rsidR="00C849B2">
        <w:t>to</w:t>
      </w:r>
      <w:r w:rsidR="001B25AB">
        <w:t xml:space="preserve"> subsection S26—3(7)</w:t>
      </w:r>
      <w:r w:rsidR="0011100E">
        <w:t xml:space="preserve"> by </w:t>
      </w:r>
      <w:r w:rsidR="001B25AB">
        <w:t xml:space="preserve">inserting </w:t>
      </w:r>
      <w:r w:rsidR="006632CB">
        <w:t xml:space="preserve">as </w:t>
      </w:r>
      <w:r w:rsidR="006632CB" w:rsidRPr="000E20ED">
        <w:rPr>
          <w:b/>
        </w:rPr>
        <w:t>item 3</w:t>
      </w:r>
      <w:r w:rsidR="006632CB">
        <w:t xml:space="preserve"> </w:t>
      </w:r>
      <w:r w:rsidR="00C849B2">
        <w:t>in column 1 of</w:t>
      </w:r>
      <w:r w:rsidR="001B25AB">
        <w:t xml:space="preserve"> that table, the substance ‘soy leghemoglobin preparation’, in numerical order (</w:t>
      </w:r>
      <w:r w:rsidR="006632CB">
        <w:t xml:space="preserve">by item number indicating </w:t>
      </w:r>
      <w:r w:rsidR="001B25AB">
        <w:t>the order in which the substance is permitted by the Code)</w:t>
      </w:r>
      <w:r w:rsidR="0011100E">
        <w:t xml:space="preserve">. </w:t>
      </w:r>
    </w:p>
    <w:p w14:paraId="0346A93B" w14:textId="77777777" w:rsidR="0085410B" w:rsidRDefault="0085410B" w:rsidP="007C174F"/>
    <w:p w14:paraId="38F8BCA3" w14:textId="3D22FE0E" w:rsidR="002B3509" w:rsidRDefault="00226F2E" w:rsidP="007C174F">
      <w:r w:rsidRPr="00AC779E">
        <w:rPr>
          <w:b/>
        </w:rPr>
        <w:t>Note:</w:t>
      </w:r>
      <w:r>
        <w:t xml:space="preserve"> </w:t>
      </w:r>
      <w:r w:rsidR="0085410B">
        <w:t>T</w:t>
      </w:r>
      <w:r>
        <w:t>he</w:t>
      </w:r>
      <w:r w:rsidR="0085410B">
        <w:t xml:space="preserve"> table to subsection S26—3(7) does not currently exist in the Code, but is proposed in the drafting of A1155, an application currently under review by FSANZ. The drafting of A1155 also inserts two substances into the new table. At the point of preparing this Explanatory Statement, the soy leghemoglobin preparation is the third substance inserted into the table to subsection S26—3(7).</w:t>
      </w:r>
    </w:p>
    <w:p w14:paraId="37749F02" w14:textId="1A232A5E" w:rsidR="00C849B2" w:rsidRDefault="00C849B2" w:rsidP="007C174F"/>
    <w:p w14:paraId="62CC8044" w14:textId="2D6839F1" w:rsidR="00C849B2" w:rsidRDefault="004B39CD" w:rsidP="007C174F">
      <w:r>
        <w:t>Sub-item</w:t>
      </w:r>
      <w:r w:rsidR="00C849B2">
        <w:t xml:space="preserve"> [4.2] </w:t>
      </w:r>
      <w:r w:rsidR="001E6C48">
        <w:t xml:space="preserve">also </w:t>
      </w:r>
      <w:r w:rsidR="00C849B2">
        <w:t xml:space="preserve">inserts in column 2 of the table to subsection S26—3(7), the source of the </w:t>
      </w:r>
      <w:r w:rsidR="005319AB">
        <w:t xml:space="preserve">permitted </w:t>
      </w:r>
      <w:r w:rsidR="00C849B2">
        <w:t>soy leghemoglobin preparation as ‘</w:t>
      </w:r>
      <w:r w:rsidR="00C849B2" w:rsidRPr="00C849B2">
        <w:rPr>
          <w:i/>
        </w:rPr>
        <w:t xml:space="preserve">Pichia </w:t>
      </w:r>
      <w:r w:rsidR="008B2895">
        <w:rPr>
          <w:i/>
        </w:rPr>
        <w:t>p</w:t>
      </w:r>
      <w:r w:rsidR="00C849B2" w:rsidRPr="00C849B2">
        <w:rPr>
          <w:i/>
        </w:rPr>
        <w:t>astoris</w:t>
      </w:r>
      <w:r w:rsidR="00C849B2" w:rsidRPr="00C849B2">
        <w:t xml:space="preserve"> containing the gene for leghemoglobin c2 from </w:t>
      </w:r>
      <w:r w:rsidR="00C849B2" w:rsidRPr="00485C99">
        <w:rPr>
          <w:i/>
        </w:rPr>
        <w:t>Glycine max</w:t>
      </w:r>
      <w:r w:rsidR="00C849B2">
        <w:t>’.</w:t>
      </w:r>
      <w:r w:rsidR="005319AB">
        <w:t xml:space="preserve"> In other words, only a soy leghemoglobin preparation from that source is permitted under the Code.</w:t>
      </w:r>
    </w:p>
    <w:p w14:paraId="7B6AE729" w14:textId="33E01281" w:rsidR="00C849B2" w:rsidRDefault="00C849B2" w:rsidP="007C174F"/>
    <w:p w14:paraId="3632A06D" w14:textId="24D838DD" w:rsidR="00C849B2" w:rsidRDefault="001E6C48" w:rsidP="007C174F">
      <w:r>
        <w:t xml:space="preserve">Last, </w:t>
      </w:r>
      <w:r w:rsidR="004B39CD">
        <w:t>sub-item</w:t>
      </w:r>
      <w:r w:rsidR="00C849B2">
        <w:t xml:space="preserve"> [4.2] inserts the following conditions</w:t>
      </w:r>
      <w:r>
        <w:t>,</w:t>
      </w:r>
      <w:r w:rsidR="00C849B2">
        <w:t xml:space="preserve"> </w:t>
      </w:r>
      <w:r w:rsidR="00FB458B">
        <w:t>corresponding</w:t>
      </w:r>
      <w:r w:rsidR="00C849B2">
        <w:t xml:space="preserve"> to the soy leghemoglobin preparation</w:t>
      </w:r>
      <w:r>
        <w:t>,</w:t>
      </w:r>
      <w:r w:rsidR="00C849B2">
        <w:t xml:space="preserve"> in column 3 of the table to subsection S26—3(7):</w:t>
      </w:r>
    </w:p>
    <w:p w14:paraId="341E700A" w14:textId="4D84A550" w:rsidR="00C849B2" w:rsidRDefault="00C849B2" w:rsidP="007C174F"/>
    <w:p w14:paraId="74C6DBD4" w14:textId="20809A25" w:rsidR="00C849B2" w:rsidRDefault="000D718B" w:rsidP="00485C99">
      <w:pPr>
        <w:pStyle w:val="ListParagraph"/>
        <w:numPr>
          <w:ilvl w:val="0"/>
          <w:numId w:val="32"/>
        </w:numPr>
      </w:pPr>
      <w:r>
        <w:t>the preparation m</w:t>
      </w:r>
      <w:r w:rsidRPr="000D718B">
        <w:t>ay only be added to a meat analogue product to enable the use</w:t>
      </w:r>
      <w:r w:rsidR="001E6C48">
        <w:t>,</w:t>
      </w:r>
      <w:r w:rsidRPr="000D718B">
        <w:t xml:space="preserve"> in that product</w:t>
      </w:r>
      <w:r w:rsidR="001E6C48">
        <w:t>,</w:t>
      </w:r>
      <w:r w:rsidRPr="000D718B">
        <w:t xml:space="preserve"> of soy leghemoglobin as a nutritive substance in accordance with Standard 1.3.2</w:t>
      </w:r>
      <w:r>
        <w:t>;</w:t>
      </w:r>
      <w:r w:rsidR="00D7544F">
        <w:t xml:space="preserve"> and</w:t>
      </w:r>
    </w:p>
    <w:p w14:paraId="19422E5B" w14:textId="2CBAD2CB" w:rsidR="000D718B" w:rsidRDefault="000D718B" w:rsidP="00D7544F">
      <w:pPr>
        <w:pStyle w:val="ListParagraph"/>
        <w:numPr>
          <w:ilvl w:val="0"/>
          <w:numId w:val="32"/>
        </w:numPr>
      </w:pPr>
      <w:r>
        <w:t xml:space="preserve">the preparation must </w:t>
      </w:r>
      <w:r w:rsidRPr="000D718B">
        <w:t>comply with the specifications set out in section S3—42</w:t>
      </w:r>
      <w:r w:rsidR="00CE74F2">
        <w:t>.</w:t>
      </w:r>
    </w:p>
    <w:p w14:paraId="3B3A0024" w14:textId="77777777" w:rsidR="008B2895" w:rsidRDefault="008B2895" w:rsidP="00B51A46"/>
    <w:p w14:paraId="510252F7" w14:textId="4DA254F7" w:rsidR="000F22E9" w:rsidRDefault="00FB458B" w:rsidP="005440CC">
      <w:r>
        <w:t xml:space="preserve">A soy leghemoglobin preparation </w:t>
      </w:r>
      <w:r w:rsidR="00A01C75">
        <w:t xml:space="preserve">listed in the table to subsection S26—3(7) </w:t>
      </w:r>
      <w:r>
        <w:t xml:space="preserve">must comply with </w:t>
      </w:r>
      <w:r w:rsidR="00AE7AE8">
        <w:t xml:space="preserve">both </w:t>
      </w:r>
      <w:r w:rsidR="00CB6466">
        <w:t xml:space="preserve">of </w:t>
      </w:r>
      <w:r>
        <w:t>those conditions</w:t>
      </w:r>
      <w:r w:rsidR="005319AB">
        <w:t xml:space="preserve"> (this requirement is included in the </w:t>
      </w:r>
      <w:r w:rsidR="001E6C48">
        <w:t xml:space="preserve">A1155 </w:t>
      </w:r>
      <w:r w:rsidR="005319AB">
        <w:t>drafting)</w:t>
      </w:r>
      <w:r w:rsidR="000F22E9">
        <w:br w:type="page"/>
      </w:r>
    </w:p>
    <w:p w14:paraId="7D9EEA96" w14:textId="097903B4" w:rsidR="007658FC" w:rsidRDefault="00AB2BE0" w:rsidP="00AB2BE0">
      <w:pPr>
        <w:pStyle w:val="FSCh2Part"/>
      </w:pPr>
      <w:bookmarkStart w:id="238" w:name="_Toc41576687"/>
      <w:bookmarkStart w:id="239" w:name="_Toc42875250"/>
      <w:bookmarkStart w:id="240" w:name="_Toc43126903"/>
      <w:bookmarkStart w:id="241" w:name="_Toc43128154"/>
      <w:r>
        <w:lastRenderedPageBreak/>
        <w:t>Attachment</w:t>
      </w:r>
      <w:r w:rsidR="007658FC">
        <w:t xml:space="preserve"> C – Mock-up of </w:t>
      </w:r>
      <w:r w:rsidR="00275289">
        <w:t xml:space="preserve">proposed </w:t>
      </w:r>
      <w:r w:rsidR="007658FC">
        <w:t>drafting</w:t>
      </w:r>
      <w:bookmarkEnd w:id="238"/>
      <w:r w:rsidR="00275289">
        <w:t xml:space="preserve"> for Schedule 3 and </w:t>
      </w:r>
      <w:r w:rsidR="007F33BD">
        <w:t xml:space="preserve">Schedule </w:t>
      </w:r>
      <w:r w:rsidR="00275289">
        <w:t>26</w:t>
      </w:r>
      <w:bookmarkEnd w:id="239"/>
      <w:bookmarkEnd w:id="240"/>
      <w:bookmarkEnd w:id="241"/>
    </w:p>
    <w:p w14:paraId="766011D3" w14:textId="77777777" w:rsidR="00F73EA5" w:rsidRPr="001D1563" w:rsidRDefault="00F73EA5" w:rsidP="00275289">
      <w:pPr>
        <w:pStyle w:val="FSCh4Div"/>
      </w:pPr>
      <w:r>
        <w:t>Schedule</w:t>
      </w:r>
      <w:r w:rsidRPr="001D1563">
        <w:t xml:space="preserve"> 3</w:t>
      </w:r>
      <w:r w:rsidRPr="001D1563">
        <w:tab/>
        <w:t>Identity and purity</w:t>
      </w:r>
    </w:p>
    <w:p w14:paraId="5E98D3A5" w14:textId="77777777" w:rsidR="00F73EA5" w:rsidRPr="001D1563" w:rsidRDefault="00F73EA5" w:rsidP="00F73EA5">
      <w:pPr>
        <w:pStyle w:val="FSCnatHeading"/>
      </w:pPr>
      <w:r w:rsidRPr="009573BC">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 </w:t>
      </w:r>
      <w:r w:rsidRPr="00406023">
        <w:rPr>
          <w:i/>
        </w:rPr>
        <w:t>Australia New Zealand Food Standards Code</w:t>
      </w:r>
      <w:r w:rsidRPr="001D1563">
        <w:t>. See also section 1.1.1—3.</w:t>
      </w:r>
    </w:p>
    <w:p w14:paraId="27FC54DB" w14:textId="77777777" w:rsidR="00F73EA5" w:rsidRPr="001D1563" w:rsidRDefault="00F73EA5" w:rsidP="00F73EA5">
      <w:pPr>
        <w:pStyle w:val="FSCnatHeading"/>
      </w:pPr>
      <w:r w:rsidRPr="001D1563">
        <w:tab/>
        <w:t xml:space="preserve">Standard 1.1.1 relates to introductory matters and standards that apply to all foods. </w:t>
      </w:r>
      <w:r w:rsidRPr="002475E8">
        <w:t>Sections 1.1.1—15 and S26—4 require</w:t>
      </w:r>
      <w:r w:rsidRPr="001D1563">
        <w:t xml:space="preserve"> certain substances to comply with relevant specifications. This Standard sets out the relevant specifications.</w:t>
      </w:r>
    </w:p>
    <w:p w14:paraId="16502F53" w14:textId="77777777" w:rsidR="00F73EA5" w:rsidRPr="001D1563" w:rsidRDefault="00F73EA5" w:rsidP="00F73EA5">
      <w:pPr>
        <w:pStyle w:val="FSCnatHeading"/>
      </w:pPr>
      <w:r w:rsidRPr="009573BC">
        <w:rPr>
          <w:b/>
          <w:i/>
        </w:rPr>
        <w:t>Note</w:t>
      </w:r>
      <w:r w:rsidRPr="001D1563">
        <w:rPr>
          <w:b/>
          <w:i/>
        </w:rPr>
        <w:t xml:space="preserve"> 2</w:t>
      </w:r>
      <w:r w:rsidRPr="001D1563">
        <w:tab/>
        <w:t xml:space="preserve">The provisions of the Code that apply in New Zealand are incorporated in, or adopted under, the </w:t>
      </w:r>
      <w:r w:rsidRPr="001D1563">
        <w:rPr>
          <w:i/>
        </w:rPr>
        <w:t>Food Act 2014</w:t>
      </w:r>
      <w:r w:rsidRPr="001D1563">
        <w:t xml:space="preserve"> (NZ). See also section 1.1.1—3.</w:t>
      </w:r>
    </w:p>
    <w:p w14:paraId="1D344DDC" w14:textId="77777777" w:rsidR="00F73EA5" w:rsidRPr="001D1563" w:rsidRDefault="00F73EA5" w:rsidP="00F73EA5">
      <w:pPr>
        <w:pStyle w:val="FSCh5Section"/>
      </w:pPr>
      <w:bookmarkStart w:id="242" w:name="_Toc400032393"/>
      <w:bookmarkStart w:id="243" w:name="_Ref331693428"/>
      <w:r w:rsidRPr="001D1563">
        <w:rPr>
          <w:rFonts w:ascii="Arial Bold" w:hAnsi="Arial Bold"/>
        </w:rPr>
        <w:t>S3—1</w:t>
      </w:r>
      <w:r w:rsidRPr="001D1563">
        <w:tab/>
        <w:t>Name</w:t>
      </w:r>
      <w:bookmarkEnd w:id="242"/>
    </w:p>
    <w:p w14:paraId="7A9BA811" w14:textId="77777777" w:rsidR="00F73EA5" w:rsidRPr="00406023" w:rsidRDefault="00F73EA5" w:rsidP="00F73EA5">
      <w:pPr>
        <w:pStyle w:val="FSCtMain"/>
      </w:pPr>
      <w:r w:rsidRPr="001D1563">
        <w:tab/>
      </w:r>
      <w:r w:rsidRPr="001D1563">
        <w:tab/>
        <w:t xml:space="preserve">This Standard is </w:t>
      </w:r>
      <w:r w:rsidRPr="001D1563">
        <w:rPr>
          <w:i/>
        </w:rPr>
        <w:t xml:space="preserve">Australia New Zealand Food Standards Code </w:t>
      </w:r>
      <w:r w:rsidRPr="00406023">
        <w:t>– Schedule 3 – Identity and purity.</w:t>
      </w:r>
    </w:p>
    <w:p w14:paraId="408B8864" w14:textId="77777777" w:rsidR="00F73EA5" w:rsidRPr="001D1563" w:rsidRDefault="00F73EA5" w:rsidP="00F73EA5">
      <w:pPr>
        <w:pStyle w:val="FSCnMain"/>
      </w:pPr>
      <w:r w:rsidRPr="001D1563">
        <w:tab/>
      </w:r>
      <w:r w:rsidRPr="001D1563">
        <w:rPr>
          <w:b/>
          <w:i/>
        </w:rPr>
        <w:t>Note</w:t>
      </w:r>
      <w:r w:rsidRPr="001D1563">
        <w:rPr>
          <w:b/>
          <w:i/>
        </w:rPr>
        <w:tab/>
      </w:r>
      <w:r w:rsidRPr="001D1563">
        <w:t>Commencement:</w:t>
      </w:r>
      <w:r w:rsidRPr="001D1563">
        <w:rPr>
          <w:i/>
        </w:rPr>
        <w:br/>
      </w:r>
      <w:r w:rsidRPr="001D1563">
        <w:t xml:space="preserve">This Standard commences on 1 March 2016, being the date specified as the commencement date in notices in the </w:t>
      </w:r>
      <w:r w:rsidRPr="001D1563">
        <w:rPr>
          <w:i/>
        </w:rPr>
        <w:t>Gazette</w:t>
      </w:r>
      <w:r w:rsidRPr="001D1563">
        <w:t xml:space="preserve"> and the New Zealand Gazette under section 92 of the </w:t>
      </w:r>
      <w:r w:rsidRPr="001D1563">
        <w:rPr>
          <w:i/>
        </w:rPr>
        <w:t>Food Standards Australia New Zealand Act 1991</w:t>
      </w:r>
      <w:r w:rsidRPr="001D1563">
        <w:t xml:space="preserve"> (Cth). See also section 93 of that Act.</w:t>
      </w:r>
    </w:p>
    <w:p w14:paraId="43FC33AD" w14:textId="77777777" w:rsidR="00F73EA5" w:rsidRPr="001D1563" w:rsidRDefault="00F73EA5" w:rsidP="00F73EA5">
      <w:pPr>
        <w:pStyle w:val="FSCh5Section"/>
      </w:pPr>
      <w:bookmarkStart w:id="244" w:name="_Toc371505774"/>
      <w:bookmarkStart w:id="245" w:name="_Toc400032394"/>
      <w:r w:rsidRPr="001D1563">
        <w:rPr>
          <w:rFonts w:ascii="Arial Bold" w:hAnsi="Arial Bold"/>
        </w:rPr>
        <w:t>S3—2</w:t>
      </w:r>
      <w:r w:rsidRPr="001D1563">
        <w:rPr>
          <w:rFonts w:ascii="Arial Bold" w:hAnsi="Arial Bold"/>
        </w:rPr>
        <w:tab/>
      </w:r>
      <w:r w:rsidRPr="001D1563">
        <w:t>Substances with specifications in primary sources</w:t>
      </w:r>
      <w:bookmarkEnd w:id="243"/>
      <w:bookmarkEnd w:id="244"/>
      <w:bookmarkEnd w:id="245"/>
    </w:p>
    <w:p w14:paraId="3D575B66" w14:textId="77777777" w:rsidR="00F73EA5" w:rsidRDefault="00F73EA5" w:rsidP="00F73EA5">
      <w:pPr>
        <w:pStyle w:val="FSCtMain"/>
      </w:pPr>
    </w:p>
    <w:p w14:paraId="5B5A32F1" w14:textId="77777777" w:rsidR="00F73EA5" w:rsidRPr="001D1563" w:rsidRDefault="00F73EA5" w:rsidP="00F73EA5">
      <w:pPr>
        <w:pStyle w:val="FSCtMain"/>
      </w:pPr>
      <w:r w:rsidRPr="001D1563">
        <w:tab/>
        <w:t>(2)</w:t>
      </w:r>
      <w:r w:rsidRPr="001D1563">
        <w:tab/>
        <w:t>The table to this subsection is:</w:t>
      </w:r>
    </w:p>
    <w:p w14:paraId="2E612E0E" w14:textId="77777777" w:rsidR="00F73EA5" w:rsidRPr="00406023" w:rsidRDefault="00F73EA5" w:rsidP="00F73EA5">
      <w:pPr>
        <w:pStyle w:val="FSCtblh2"/>
      </w:pPr>
      <w:r w:rsidRPr="001D1563">
        <w:t>Relevant provisions</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402"/>
      </w:tblGrid>
      <w:tr w:rsidR="00F73EA5" w:rsidRPr="00406023" w14:paraId="02F5F4D3" w14:textId="77777777" w:rsidTr="00165D47">
        <w:trPr>
          <w:tblHeader/>
          <w:jc w:val="center"/>
        </w:trPr>
        <w:tc>
          <w:tcPr>
            <w:tcW w:w="5103" w:type="dxa"/>
            <w:tcBorders>
              <w:top w:val="single" w:sz="4" w:space="0" w:color="auto"/>
              <w:bottom w:val="single" w:sz="4" w:space="0" w:color="auto"/>
            </w:tcBorders>
          </w:tcPr>
          <w:p w14:paraId="61309524" w14:textId="77777777" w:rsidR="00F73EA5" w:rsidRPr="00406023" w:rsidRDefault="00F73EA5" w:rsidP="00623FDD">
            <w:pPr>
              <w:pStyle w:val="FSCtblh3"/>
            </w:pPr>
            <w:r w:rsidRPr="001D1563">
              <w:t>Substance</w:t>
            </w:r>
          </w:p>
        </w:tc>
        <w:tc>
          <w:tcPr>
            <w:tcW w:w="3402" w:type="dxa"/>
            <w:tcBorders>
              <w:top w:val="single" w:sz="4" w:space="0" w:color="auto"/>
              <w:bottom w:val="single" w:sz="4" w:space="0" w:color="auto"/>
            </w:tcBorders>
          </w:tcPr>
          <w:p w14:paraId="1FD67FEA" w14:textId="77777777" w:rsidR="00F73EA5" w:rsidRPr="00406023" w:rsidRDefault="00F73EA5" w:rsidP="00623FDD">
            <w:pPr>
              <w:pStyle w:val="FSCtblh3"/>
            </w:pPr>
            <w:r w:rsidRPr="001D1563">
              <w:t>Provision</w:t>
            </w:r>
          </w:p>
        </w:tc>
      </w:tr>
      <w:tr w:rsidR="00F73EA5" w:rsidRPr="00406023" w14:paraId="68177C1E" w14:textId="77777777" w:rsidTr="00165D47">
        <w:trPr>
          <w:cantSplit/>
          <w:jc w:val="center"/>
        </w:trPr>
        <w:tc>
          <w:tcPr>
            <w:tcW w:w="5103" w:type="dxa"/>
          </w:tcPr>
          <w:p w14:paraId="30BDFAB3" w14:textId="77777777" w:rsidR="00F73EA5" w:rsidRPr="00222B77" w:rsidRDefault="00F73EA5" w:rsidP="00623FDD">
            <w:pPr>
              <w:pStyle w:val="FSCtblMain"/>
              <w:rPr>
                <w:i/>
              </w:rPr>
            </w:pPr>
            <w:r>
              <w:rPr>
                <w:i/>
              </w:rPr>
              <w:t>….</w:t>
            </w:r>
          </w:p>
        </w:tc>
        <w:tc>
          <w:tcPr>
            <w:tcW w:w="3402" w:type="dxa"/>
          </w:tcPr>
          <w:p w14:paraId="034779C7" w14:textId="77777777" w:rsidR="00F73EA5" w:rsidRPr="00222B77" w:rsidRDefault="00F73EA5" w:rsidP="00623FDD">
            <w:pPr>
              <w:pStyle w:val="FSCtblMain"/>
            </w:pPr>
            <w:r>
              <w:t>….</w:t>
            </w:r>
          </w:p>
        </w:tc>
      </w:tr>
      <w:tr w:rsidR="00F73EA5" w:rsidRPr="00406023" w14:paraId="7BDC2BF2" w14:textId="77777777" w:rsidTr="00165D47">
        <w:trPr>
          <w:cantSplit/>
          <w:jc w:val="center"/>
        </w:trPr>
        <w:tc>
          <w:tcPr>
            <w:tcW w:w="5103" w:type="dxa"/>
          </w:tcPr>
          <w:p w14:paraId="680166E9" w14:textId="77777777" w:rsidR="00F73EA5" w:rsidRDefault="00F73EA5" w:rsidP="00623FDD">
            <w:pPr>
              <w:pStyle w:val="FSCtblMain"/>
            </w:pPr>
            <w:r w:rsidRPr="00222B77">
              <w:rPr>
                <w:i/>
              </w:rPr>
              <w:t>Salmonella</w:t>
            </w:r>
            <w:r w:rsidRPr="00222B77">
              <w:t xml:space="preserve"> phage preparation (S16 and FO1a)</w:t>
            </w:r>
          </w:p>
          <w:p w14:paraId="18D5EB96" w14:textId="77777777" w:rsidR="00F73EA5" w:rsidRPr="00222B77" w:rsidRDefault="00F73EA5" w:rsidP="00623FDD">
            <w:pPr>
              <w:pStyle w:val="FSCtblMain"/>
            </w:pPr>
            <w:r w:rsidRPr="002275A0">
              <w:rPr>
                <w:rFonts w:cs="Times New Roman"/>
              </w:rPr>
              <w:t>Soy leghemoglobin preparation</w:t>
            </w:r>
          </w:p>
        </w:tc>
        <w:tc>
          <w:tcPr>
            <w:tcW w:w="3402" w:type="dxa"/>
          </w:tcPr>
          <w:p w14:paraId="61BBA565" w14:textId="77777777" w:rsidR="00F73EA5" w:rsidRDefault="00F73EA5" w:rsidP="00623FDD">
            <w:pPr>
              <w:pStyle w:val="FSCtblMain"/>
            </w:pPr>
            <w:r w:rsidRPr="00222B77">
              <w:t>section S3—33</w:t>
            </w:r>
          </w:p>
          <w:p w14:paraId="76C4ED9A" w14:textId="77777777" w:rsidR="00F73EA5" w:rsidRPr="00222B77" w:rsidRDefault="00F73EA5" w:rsidP="00623FDD">
            <w:pPr>
              <w:pStyle w:val="FSCtblMain"/>
            </w:pPr>
            <w:r w:rsidRPr="000A329E">
              <w:t>section S3—42</w:t>
            </w:r>
          </w:p>
        </w:tc>
      </w:tr>
      <w:tr w:rsidR="00F73EA5" w:rsidRPr="00406023" w14:paraId="7C9613DB" w14:textId="77777777" w:rsidTr="00165D47">
        <w:trPr>
          <w:cantSplit/>
          <w:jc w:val="center"/>
        </w:trPr>
        <w:tc>
          <w:tcPr>
            <w:tcW w:w="5103" w:type="dxa"/>
          </w:tcPr>
          <w:p w14:paraId="488EDE9F" w14:textId="77777777" w:rsidR="00F73EA5" w:rsidRDefault="00F73EA5" w:rsidP="00623FDD">
            <w:pPr>
              <w:pStyle w:val="FSCtblMain"/>
            </w:pPr>
            <w:r w:rsidRPr="0043540F">
              <w:t>steviol glycoside m</w:t>
            </w:r>
            <w:r>
              <w:t xml:space="preserve">ixtures including rebaudioside </w:t>
            </w:r>
          </w:p>
        </w:tc>
        <w:tc>
          <w:tcPr>
            <w:tcW w:w="3402" w:type="dxa"/>
          </w:tcPr>
          <w:p w14:paraId="2BFF4F68" w14:textId="77777777" w:rsidR="00F73EA5" w:rsidRPr="0009172D" w:rsidRDefault="00F73EA5" w:rsidP="00623FDD">
            <w:pPr>
              <w:pStyle w:val="FSCtblMain"/>
            </w:pPr>
            <w:r w:rsidRPr="0009172D">
              <w:t>section S3—32</w:t>
            </w:r>
          </w:p>
        </w:tc>
      </w:tr>
    </w:tbl>
    <w:p w14:paraId="2484B8EA" w14:textId="7D1A723A" w:rsidR="00F73EA5" w:rsidRPr="00675D8F" w:rsidRDefault="00675D8F" w:rsidP="00675D8F">
      <w:pPr>
        <w:ind w:left="1134"/>
        <w:rPr>
          <w:b/>
        </w:rPr>
      </w:pPr>
      <w:bookmarkStart w:id="246" w:name="_Ref331693430"/>
      <w:bookmarkStart w:id="247" w:name="_Toc371505775"/>
      <w:bookmarkStart w:id="248" w:name="_Toc400032395"/>
      <w:r w:rsidRPr="00675D8F">
        <w:rPr>
          <w:b/>
        </w:rPr>
        <w:t>….</w:t>
      </w:r>
    </w:p>
    <w:bookmarkEnd w:id="246"/>
    <w:bookmarkEnd w:id="247"/>
    <w:bookmarkEnd w:id="248"/>
    <w:p w14:paraId="12B6A255" w14:textId="77777777" w:rsidR="00F73EA5" w:rsidRPr="00A15DA1" w:rsidRDefault="00F73EA5" w:rsidP="00F73EA5">
      <w:pPr>
        <w:pStyle w:val="FSCoStandardEnd"/>
        <w:jc w:val="left"/>
        <w:rPr>
          <w:b/>
          <w:bCs/>
          <w:kern w:val="32"/>
          <w:sz w:val="22"/>
        </w:rPr>
      </w:pPr>
      <w:r w:rsidRPr="00A15DA1">
        <w:rPr>
          <w:b/>
          <w:bCs/>
          <w:kern w:val="32"/>
          <w:sz w:val="22"/>
        </w:rPr>
        <w:t>S3—42</w:t>
      </w:r>
      <w:r w:rsidRPr="00A15DA1">
        <w:rPr>
          <w:b/>
          <w:bCs/>
          <w:kern w:val="32"/>
          <w:sz w:val="22"/>
        </w:rPr>
        <w:tab/>
        <w:t>Specification for a soy leghemoglobin preparation</w:t>
      </w:r>
    </w:p>
    <w:p w14:paraId="037E48A3" w14:textId="77777777" w:rsidR="00F73EA5" w:rsidRPr="00A15DA1" w:rsidRDefault="00F73EA5" w:rsidP="00F73EA5">
      <w:pPr>
        <w:tabs>
          <w:tab w:val="left" w:pos="1701"/>
        </w:tabs>
        <w:spacing w:before="60" w:after="60"/>
        <w:ind w:left="2268" w:hanging="2268"/>
        <w:rPr>
          <w:rFonts w:cs="Arial"/>
          <w:sz w:val="16"/>
          <w:szCs w:val="18"/>
        </w:rPr>
      </w:pPr>
      <w:r w:rsidRPr="00A15DA1">
        <w:rPr>
          <w:rFonts w:cs="Arial"/>
          <w:sz w:val="16"/>
          <w:szCs w:val="18"/>
        </w:rPr>
        <w:tab/>
      </w:r>
      <w:r w:rsidRPr="00A15DA1">
        <w:rPr>
          <w:rFonts w:cs="Arial"/>
          <w:b/>
          <w:i/>
          <w:sz w:val="16"/>
          <w:szCs w:val="18"/>
        </w:rPr>
        <w:t>Note</w:t>
      </w:r>
      <w:r w:rsidRPr="00A15DA1">
        <w:rPr>
          <w:rFonts w:cs="Arial"/>
          <w:sz w:val="16"/>
          <w:szCs w:val="18"/>
        </w:rPr>
        <w:t xml:space="preserve"> </w:t>
      </w:r>
      <w:r w:rsidRPr="00A15DA1">
        <w:rPr>
          <w:rFonts w:cs="Arial"/>
          <w:sz w:val="16"/>
          <w:szCs w:val="18"/>
        </w:rPr>
        <w:tab/>
      </w:r>
      <w:r w:rsidRPr="00A15DA1">
        <w:rPr>
          <w:rFonts w:cs="Arial"/>
          <w:sz w:val="16"/>
          <w:szCs w:val="16"/>
        </w:rPr>
        <w:t xml:space="preserve">Subsections S26—3(5) and (7) require a soy leghemoglobin preparation to comply with </w:t>
      </w:r>
      <w:r w:rsidRPr="00A15DA1">
        <w:rPr>
          <w:rFonts w:eastAsia="Calibri" w:cs="Arial"/>
          <w:sz w:val="16"/>
          <w:szCs w:val="16"/>
        </w:rPr>
        <w:t>the specifications set out in this section</w:t>
      </w:r>
      <w:r w:rsidRPr="00A15DA1">
        <w:rPr>
          <w:rFonts w:cs="Arial"/>
          <w:sz w:val="16"/>
          <w:szCs w:val="16"/>
        </w:rPr>
        <w:t>.</w:t>
      </w:r>
    </w:p>
    <w:p w14:paraId="1EB539B5" w14:textId="77777777" w:rsidR="00F73EA5" w:rsidRPr="00A15DA1" w:rsidRDefault="00F73EA5" w:rsidP="00F73EA5">
      <w:pPr>
        <w:shd w:val="clear" w:color="auto" w:fill="FFFFFF"/>
        <w:tabs>
          <w:tab w:val="left" w:pos="851"/>
          <w:tab w:val="left" w:pos="1134"/>
        </w:tabs>
        <w:spacing w:before="120" w:after="120"/>
        <w:ind w:left="1701" w:hanging="1701"/>
        <w:rPr>
          <w:rFonts w:cs="Arial"/>
          <w:szCs w:val="20"/>
          <w:lang w:val="en-US" w:eastAsia="en-GB"/>
        </w:rPr>
      </w:pPr>
      <w:r w:rsidRPr="00A15DA1">
        <w:rPr>
          <w:rFonts w:cs="Arial"/>
          <w:szCs w:val="20"/>
        </w:rPr>
        <w:t xml:space="preserve">                        </w:t>
      </w:r>
      <w:r w:rsidRPr="00A15DA1">
        <w:rPr>
          <w:rFonts w:cs="Arial"/>
          <w:szCs w:val="20"/>
        </w:rPr>
        <w:tab/>
      </w:r>
      <w:r w:rsidRPr="00A15DA1">
        <w:rPr>
          <w:rFonts w:eastAsia="Calibri"/>
          <w:iCs/>
          <w:szCs w:val="20"/>
        </w:rPr>
        <w:t xml:space="preserve">For a </w:t>
      </w:r>
      <w:r w:rsidRPr="00A15DA1">
        <w:rPr>
          <w:rFonts w:eastAsia="Calibri"/>
          <w:szCs w:val="20"/>
        </w:rPr>
        <w:t>soy leghemoglobin preparation, the</w:t>
      </w:r>
      <w:r w:rsidRPr="00A15DA1">
        <w:rPr>
          <w:rFonts w:eastAsia="Calibri"/>
          <w:iCs/>
          <w:szCs w:val="20"/>
        </w:rPr>
        <w:t xml:space="preserve"> </w:t>
      </w:r>
      <w:r w:rsidRPr="00A15DA1">
        <w:rPr>
          <w:szCs w:val="20"/>
        </w:rPr>
        <w:t>specifications are the following:</w:t>
      </w:r>
      <w:r w:rsidRPr="00A15DA1">
        <w:rPr>
          <w:rFonts w:ascii="Times New Roman" w:hAnsi="Times New Roman"/>
          <w:szCs w:val="20"/>
          <w:lang w:val="en-AU" w:eastAsia="en-GB"/>
        </w:rPr>
        <w:t xml:space="preserve"> </w:t>
      </w:r>
    </w:p>
    <w:p w14:paraId="297399D7" w14:textId="77777777" w:rsidR="00F73EA5" w:rsidRPr="00A15DA1" w:rsidRDefault="00F73EA5" w:rsidP="00F73EA5">
      <w:pPr>
        <w:numPr>
          <w:ilvl w:val="0"/>
          <w:numId w:val="37"/>
        </w:numPr>
        <w:tabs>
          <w:tab w:val="left" w:pos="851"/>
          <w:tab w:val="left" w:pos="1701"/>
        </w:tabs>
        <w:spacing w:before="60" w:after="60"/>
        <w:rPr>
          <w:rFonts w:eastAsia="Calibri" w:cs="Arial"/>
          <w:iCs/>
          <w:szCs w:val="20"/>
        </w:rPr>
      </w:pPr>
      <w:r w:rsidRPr="00A15DA1">
        <w:rPr>
          <w:rFonts w:eastAsia="Calibri" w:cs="Arial"/>
          <w:iCs/>
          <w:szCs w:val="20"/>
        </w:rPr>
        <w:t>soy leghemoglobin protein—maximum 9.0%;</w:t>
      </w:r>
    </w:p>
    <w:p w14:paraId="52E192B7" w14:textId="77777777" w:rsidR="00F73EA5" w:rsidRPr="00A15DA1" w:rsidRDefault="00F73EA5" w:rsidP="00F73EA5">
      <w:pPr>
        <w:numPr>
          <w:ilvl w:val="0"/>
          <w:numId w:val="37"/>
        </w:numPr>
        <w:tabs>
          <w:tab w:val="left" w:pos="851"/>
          <w:tab w:val="left" w:pos="1701"/>
        </w:tabs>
        <w:spacing w:before="60" w:after="60"/>
        <w:rPr>
          <w:rFonts w:eastAsia="Calibri" w:cs="Arial"/>
          <w:iCs/>
          <w:szCs w:val="20"/>
        </w:rPr>
      </w:pPr>
      <w:r w:rsidRPr="00A15DA1">
        <w:rPr>
          <w:rFonts w:eastAsia="Calibri" w:cs="Arial"/>
          <w:iCs/>
          <w:szCs w:val="20"/>
        </w:rPr>
        <w:t>soy leghemoglobin protein purity—minimum 65%;</w:t>
      </w:r>
    </w:p>
    <w:p w14:paraId="32C64681" w14:textId="77777777" w:rsidR="00F73EA5" w:rsidRPr="00A15DA1" w:rsidRDefault="00F73EA5" w:rsidP="00F73EA5">
      <w:pPr>
        <w:numPr>
          <w:ilvl w:val="0"/>
          <w:numId w:val="37"/>
        </w:numPr>
        <w:tabs>
          <w:tab w:val="left" w:pos="851"/>
          <w:tab w:val="left" w:pos="1701"/>
        </w:tabs>
        <w:spacing w:before="60" w:after="60"/>
        <w:rPr>
          <w:rFonts w:eastAsia="Calibri" w:cs="Arial"/>
          <w:iCs/>
          <w:szCs w:val="20"/>
        </w:rPr>
      </w:pPr>
      <w:r w:rsidRPr="00A15DA1">
        <w:rPr>
          <w:rFonts w:eastAsia="Calibri" w:cs="Arial"/>
          <w:iCs/>
          <w:szCs w:val="20"/>
        </w:rPr>
        <w:t>appearance—dark red concentrated liquid;</w:t>
      </w:r>
    </w:p>
    <w:p w14:paraId="7B8B9C66" w14:textId="77777777" w:rsidR="00F73EA5" w:rsidRPr="00A15DA1" w:rsidRDefault="00F73EA5" w:rsidP="00F73EA5">
      <w:pPr>
        <w:numPr>
          <w:ilvl w:val="0"/>
          <w:numId w:val="37"/>
        </w:numPr>
        <w:tabs>
          <w:tab w:val="left" w:pos="851"/>
          <w:tab w:val="left" w:pos="1701"/>
        </w:tabs>
        <w:spacing w:before="60" w:after="60"/>
        <w:rPr>
          <w:rFonts w:eastAsia="Calibri" w:cs="Arial"/>
          <w:iCs/>
          <w:szCs w:val="20"/>
        </w:rPr>
      </w:pPr>
      <w:r w:rsidRPr="00A15DA1">
        <w:rPr>
          <w:rFonts w:eastAsia="Calibri" w:cs="Arial"/>
          <w:iCs/>
          <w:szCs w:val="20"/>
        </w:rPr>
        <w:t>solids— maximum 26%;</w:t>
      </w:r>
    </w:p>
    <w:p w14:paraId="35FBF795" w14:textId="77777777" w:rsidR="00F73EA5" w:rsidRPr="00A15DA1" w:rsidRDefault="00F73EA5" w:rsidP="00F73EA5">
      <w:pPr>
        <w:numPr>
          <w:ilvl w:val="0"/>
          <w:numId w:val="37"/>
        </w:numPr>
        <w:tabs>
          <w:tab w:val="left" w:pos="851"/>
          <w:tab w:val="left" w:pos="1701"/>
        </w:tabs>
        <w:spacing w:before="60" w:after="60"/>
        <w:rPr>
          <w:rFonts w:eastAsia="Calibri" w:cs="Arial"/>
          <w:iCs/>
          <w:szCs w:val="20"/>
        </w:rPr>
      </w:pPr>
      <w:r w:rsidRPr="00A15DA1">
        <w:rPr>
          <w:rFonts w:eastAsia="Calibri" w:cs="Arial"/>
          <w:iCs/>
          <w:szCs w:val="20"/>
        </w:rPr>
        <w:t>fat—maximum 2.0%;</w:t>
      </w:r>
    </w:p>
    <w:p w14:paraId="1E55D2CB" w14:textId="77777777" w:rsidR="00F73EA5" w:rsidRPr="00A15DA1" w:rsidRDefault="00F73EA5" w:rsidP="00F73EA5">
      <w:pPr>
        <w:numPr>
          <w:ilvl w:val="0"/>
          <w:numId w:val="37"/>
        </w:numPr>
        <w:tabs>
          <w:tab w:val="left" w:pos="851"/>
          <w:tab w:val="left" w:pos="1701"/>
        </w:tabs>
        <w:spacing w:before="60" w:after="60"/>
        <w:rPr>
          <w:rFonts w:eastAsia="Calibri" w:cs="Arial"/>
          <w:iCs/>
          <w:szCs w:val="20"/>
        </w:rPr>
      </w:pPr>
      <w:r w:rsidRPr="00A15DA1">
        <w:rPr>
          <w:rFonts w:eastAsia="Calibri" w:cs="Arial"/>
          <w:iCs/>
          <w:szCs w:val="20"/>
        </w:rPr>
        <w:t>carbohydrate—maximum 6.0%;</w:t>
      </w:r>
    </w:p>
    <w:p w14:paraId="5D846A0B" w14:textId="77777777" w:rsidR="00F73EA5" w:rsidRPr="00A15DA1" w:rsidRDefault="00F73EA5" w:rsidP="00F73EA5">
      <w:pPr>
        <w:numPr>
          <w:ilvl w:val="0"/>
          <w:numId w:val="37"/>
        </w:numPr>
        <w:tabs>
          <w:tab w:val="left" w:pos="851"/>
          <w:tab w:val="left" w:pos="1701"/>
        </w:tabs>
        <w:spacing w:before="60" w:after="60"/>
        <w:rPr>
          <w:rFonts w:eastAsia="Calibri" w:cs="Arial"/>
          <w:iCs/>
          <w:szCs w:val="20"/>
        </w:rPr>
      </w:pPr>
      <w:r w:rsidRPr="00A15DA1">
        <w:rPr>
          <w:rFonts w:eastAsia="Calibri" w:cs="Arial"/>
          <w:iCs/>
          <w:szCs w:val="20"/>
        </w:rPr>
        <w:t>pH—5-10;</w:t>
      </w:r>
    </w:p>
    <w:p w14:paraId="3BE51FF5" w14:textId="77777777" w:rsidR="00F73EA5" w:rsidRPr="00A15DA1" w:rsidRDefault="00F73EA5" w:rsidP="00F73EA5">
      <w:pPr>
        <w:numPr>
          <w:ilvl w:val="0"/>
          <w:numId w:val="37"/>
        </w:numPr>
        <w:tabs>
          <w:tab w:val="left" w:pos="851"/>
          <w:tab w:val="left" w:pos="1701"/>
        </w:tabs>
        <w:spacing w:before="60" w:after="60"/>
        <w:rPr>
          <w:rFonts w:eastAsia="Calibri" w:cs="Arial"/>
          <w:iCs/>
          <w:szCs w:val="20"/>
        </w:rPr>
      </w:pPr>
      <w:r w:rsidRPr="00A15DA1">
        <w:rPr>
          <w:rFonts w:eastAsia="Calibri" w:cs="Arial"/>
          <w:iCs/>
          <w:szCs w:val="20"/>
        </w:rPr>
        <w:t>moisture—maximum 90%;</w:t>
      </w:r>
    </w:p>
    <w:p w14:paraId="6007CC6C" w14:textId="77777777" w:rsidR="00F73EA5" w:rsidRPr="00A15DA1" w:rsidRDefault="00F73EA5" w:rsidP="00F73EA5">
      <w:pPr>
        <w:numPr>
          <w:ilvl w:val="0"/>
          <w:numId w:val="37"/>
        </w:numPr>
        <w:tabs>
          <w:tab w:val="left" w:pos="851"/>
          <w:tab w:val="left" w:pos="1701"/>
        </w:tabs>
        <w:spacing w:before="60" w:after="60"/>
        <w:rPr>
          <w:rFonts w:eastAsia="Calibri" w:cs="Arial"/>
          <w:iCs/>
          <w:szCs w:val="20"/>
        </w:rPr>
      </w:pPr>
      <w:r w:rsidRPr="00A15DA1">
        <w:rPr>
          <w:rFonts w:eastAsia="Calibri" w:cs="Arial"/>
          <w:iCs/>
          <w:szCs w:val="20"/>
        </w:rPr>
        <w:t>ash—maximum 4.0%;</w:t>
      </w:r>
    </w:p>
    <w:p w14:paraId="263A43F2" w14:textId="77777777" w:rsidR="00F73EA5" w:rsidRPr="00A15DA1" w:rsidRDefault="00F73EA5" w:rsidP="00F73EA5">
      <w:pPr>
        <w:numPr>
          <w:ilvl w:val="0"/>
          <w:numId w:val="37"/>
        </w:numPr>
        <w:tabs>
          <w:tab w:val="left" w:pos="851"/>
          <w:tab w:val="left" w:pos="1701"/>
        </w:tabs>
        <w:spacing w:before="60" w:after="60"/>
        <w:rPr>
          <w:rFonts w:eastAsia="Calibri" w:cs="Arial"/>
          <w:iCs/>
          <w:szCs w:val="20"/>
        </w:rPr>
      </w:pPr>
      <w:r w:rsidRPr="00A15DA1">
        <w:rPr>
          <w:rFonts w:eastAsia="Calibri" w:cs="Arial"/>
          <w:iCs/>
          <w:szCs w:val="20"/>
        </w:rPr>
        <w:t>lead—maximum 0.4 mg/kg;</w:t>
      </w:r>
    </w:p>
    <w:p w14:paraId="244D664B" w14:textId="77777777" w:rsidR="00F73EA5" w:rsidRPr="00A15DA1" w:rsidRDefault="00F73EA5" w:rsidP="00F73EA5">
      <w:pPr>
        <w:numPr>
          <w:ilvl w:val="0"/>
          <w:numId w:val="37"/>
        </w:numPr>
        <w:tabs>
          <w:tab w:val="left" w:pos="851"/>
          <w:tab w:val="left" w:pos="1701"/>
        </w:tabs>
        <w:spacing w:before="60" w:after="60"/>
        <w:rPr>
          <w:rFonts w:eastAsia="Calibri" w:cs="Arial"/>
          <w:iCs/>
          <w:szCs w:val="20"/>
        </w:rPr>
      </w:pPr>
      <w:r w:rsidRPr="00A15DA1">
        <w:rPr>
          <w:rFonts w:eastAsia="Calibri" w:cs="Arial"/>
          <w:iCs/>
          <w:szCs w:val="20"/>
        </w:rPr>
        <w:t>arsenic—maximum 0.05 mg/kg;</w:t>
      </w:r>
    </w:p>
    <w:p w14:paraId="485A1ABF" w14:textId="77777777" w:rsidR="00F73EA5" w:rsidRPr="00A15DA1" w:rsidRDefault="00F73EA5" w:rsidP="00F73EA5">
      <w:pPr>
        <w:numPr>
          <w:ilvl w:val="0"/>
          <w:numId w:val="37"/>
        </w:numPr>
        <w:tabs>
          <w:tab w:val="left" w:pos="851"/>
          <w:tab w:val="left" w:pos="1701"/>
        </w:tabs>
        <w:spacing w:before="60" w:after="60"/>
        <w:rPr>
          <w:rFonts w:eastAsia="Calibri" w:cs="Arial"/>
          <w:iCs/>
          <w:szCs w:val="20"/>
        </w:rPr>
      </w:pPr>
      <w:r w:rsidRPr="00A15DA1">
        <w:rPr>
          <w:rFonts w:eastAsia="Calibri" w:cs="Arial"/>
          <w:iCs/>
          <w:szCs w:val="20"/>
        </w:rPr>
        <w:t>mercury—maximum 0.05 mg/kg;</w:t>
      </w:r>
    </w:p>
    <w:p w14:paraId="43C0E083" w14:textId="77777777" w:rsidR="00F73EA5" w:rsidRPr="00A15DA1" w:rsidRDefault="00F73EA5" w:rsidP="00F73EA5">
      <w:pPr>
        <w:numPr>
          <w:ilvl w:val="0"/>
          <w:numId w:val="37"/>
        </w:numPr>
        <w:tabs>
          <w:tab w:val="left" w:pos="851"/>
          <w:tab w:val="left" w:pos="1701"/>
        </w:tabs>
        <w:spacing w:before="60" w:after="60"/>
        <w:rPr>
          <w:rFonts w:eastAsia="Calibri" w:cs="Arial"/>
          <w:iCs/>
          <w:szCs w:val="20"/>
        </w:rPr>
      </w:pPr>
      <w:r w:rsidRPr="00A15DA1">
        <w:rPr>
          <w:rFonts w:eastAsia="Calibri" w:cs="Arial"/>
          <w:iCs/>
          <w:szCs w:val="20"/>
        </w:rPr>
        <w:t>cadmium—maximum 0.2 mg/kg;</w:t>
      </w:r>
    </w:p>
    <w:p w14:paraId="5971D43C" w14:textId="77777777" w:rsidR="00F73EA5" w:rsidRPr="00A15DA1" w:rsidRDefault="00F73EA5" w:rsidP="00F73EA5">
      <w:pPr>
        <w:numPr>
          <w:ilvl w:val="0"/>
          <w:numId w:val="37"/>
        </w:numPr>
        <w:tabs>
          <w:tab w:val="left" w:pos="851"/>
          <w:tab w:val="left" w:pos="1701"/>
        </w:tabs>
        <w:spacing w:before="60" w:after="60"/>
        <w:rPr>
          <w:rFonts w:eastAsia="Calibri" w:cs="Arial"/>
          <w:iCs/>
          <w:szCs w:val="20"/>
        </w:rPr>
      </w:pPr>
      <w:r w:rsidRPr="00A15DA1">
        <w:rPr>
          <w:rFonts w:eastAsia="Calibri" w:cs="Arial"/>
          <w:iCs/>
          <w:szCs w:val="20"/>
        </w:rPr>
        <w:t>microbiological:</w:t>
      </w:r>
    </w:p>
    <w:p w14:paraId="7EE7E90B" w14:textId="77777777" w:rsidR="00F73EA5" w:rsidRPr="00A15DA1" w:rsidRDefault="00F73EA5" w:rsidP="00F73EA5">
      <w:pPr>
        <w:tabs>
          <w:tab w:val="left" w:pos="2268"/>
        </w:tabs>
        <w:spacing w:before="60" w:after="60"/>
        <w:ind w:left="2835" w:hanging="2835"/>
        <w:rPr>
          <w:rFonts w:cs="Arial"/>
          <w:iCs/>
          <w:szCs w:val="20"/>
        </w:rPr>
      </w:pPr>
      <w:r w:rsidRPr="00A15DA1">
        <w:rPr>
          <w:rFonts w:eastAsia="Calibri" w:cs="Arial"/>
          <w:iCs/>
          <w:szCs w:val="20"/>
        </w:rPr>
        <w:tab/>
        <w:t xml:space="preserve">(i) </w:t>
      </w:r>
      <w:r w:rsidRPr="00A15DA1">
        <w:rPr>
          <w:rFonts w:eastAsia="Calibri" w:cs="Arial"/>
          <w:iCs/>
          <w:szCs w:val="20"/>
        </w:rPr>
        <w:tab/>
      </w:r>
      <w:r w:rsidRPr="00A15DA1">
        <w:rPr>
          <w:rFonts w:cs="Arial"/>
          <w:i/>
          <w:iCs/>
          <w:szCs w:val="20"/>
        </w:rPr>
        <w:t>Escherichia coli</w:t>
      </w:r>
      <w:r w:rsidRPr="00A15DA1">
        <w:rPr>
          <w:rFonts w:cs="Arial"/>
          <w:iCs/>
          <w:szCs w:val="20"/>
        </w:rPr>
        <w:t xml:space="preserve">—negative to test; </w:t>
      </w:r>
    </w:p>
    <w:p w14:paraId="21E456BD" w14:textId="77777777" w:rsidR="00F73EA5" w:rsidRDefault="00F73EA5" w:rsidP="00F73EA5">
      <w:pPr>
        <w:tabs>
          <w:tab w:val="left" w:pos="2268"/>
        </w:tabs>
        <w:spacing w:before="60" w:after="60"/>
        <w:ind w:left="2835" w:hanging="2835"/>
        <w:rPr>
          <w:rFonts w:cs="Arial"/>
          <w:iCs/>
          <w:szCs w:val="20"/>
        </w:rPr>
      </w:pPr>
      <w:r w:rsidRPr="00A15DA1">
        <w:rPr>
          <w:rFonts w:cs="Arial"/>
          <w:iCs/>
          <w:szCs w:val="20"/>
        </w:rPr>
        <w:tab/>
        <w:t>(ii)</w:t>
      </w:r>
      <w:r w:rsidRPr="00A15DA1">
        <w:rPr>
          <w:rFonts w:cs="Arial"/>
          <w:iCs/>
          <w:szCs w:val="20"/>
        </w:rPr>
        <w:tab/>
      </w:r>
      <w:r w:rsidRPr="00A15DA1">
        <w:rPr>
          <w:rFonts w:cs="Arial"/>
          <w:i/>
          <w:iCs/>
          <w:szCs w:val="20"/>
        </w:rPr>
        <w:t>Salmonella spp</w:t>
      </w:r>
      <w:r w:rsidRPr="00A15DA1">
        <w:rPr>
          <w:rFonts w:cs="Arial"/>
          <w:iCs/>
          <w:szCs w:val="20"/>
        </w:rPr>
        <w:t xml:space="preserve">.—negative to test; </w:t>
      </w:r>
    </w:p>
    <w:p w14:paraId="4FE0615B" w14:textId="77777777" w:rsidR="00F73EA5" w:rsidRPr="00A15DA1" w:rsidRDefault="00F73EA5" w:rsidP="00F73EA5">
      <w:pPr>
        <w:tabs>
          <w:tab w:val="left" w:pos="2268"/>
        </w:tabs>
        <w:spacing w:before="60" w:after="60"/>
        <w:ind w:left="2835" w:hanging="2835"/>
        <w:rPr>
          <w:i/>
          <w:iCs/>
          <w:szCs w:val="20"/>
        </w:rPr>
      </w:pPr>
      <w:r>
        <w:rPr>
          <w:rFonts w:cs="Arial"/>
          <w:iCs/>
          <w:szCs w:val="20"/>
        </w:rPr>
        <w:lastRenderedPageBreak/>
        <w:tab/>
      </w:r>
      <w:r w:rsidRPr="00A15DA1">
        <w:rPr>
          <w:szCs w:val="20"/>
        </w:rPr>
        <w:t>(iii)</w:t>
      </w:r>
      <w:r w:rsidRPr="00A15DA1">
        <w:rPr>
          <w:szCs w:val="20"/>
        </w:rPr>
        <w:tab/>
      </w:r>
      <w:r w:rsidRPr="00A15DA1">
        <w:rPr>
          <w:rFonts w:cs="Arial"/>
          <w:i/>
          <w:iCs/>
          <w:szCs w:val="20"/>
        </w:rPr>
        <w:t>Listeria monocytogenes—negative to test.</w:t>
      </w:r>
    </w:p>
    <w:p w14:paraId="557B25F8" w14:textId="6C9448BD" w:rsidR="007658FC" w:rsidRDefault="007658FC" w:rsidP="00675D8F"/>
    <w:p w14:paraId="5ACFFDB9" w14:textId="77777777" w:rsidR="00F73EA5" w:rsidRPr="001D1563" w:rsidRDefault="00F73EA5" w:rsidP="00275289">
      <w:pPr>
        <w:pStyle w:val="FSCh4Div"/>
      </w:pPr>
      <w:r>
        <w:t>Schedule</w:t>
      </w:r>
      <w:r w:rsidRPr="001D1563">
        <w:t xml:space="preserve"> 26</w:t>
      </w:r>
      <w:r w:rsidRPr="001D1563">
        <w:tab/>
        <w:t>Food produced using gene technology</w:t>
      </w:r>
    </w:p>
    <w:p w14:paraId="784596CB" w14:textId="77777777" w:rsidR="00F73EA5" w:rsidRPr="001D1563" w:rsidRDefault="00F73EA5" w:rsidP="00F73EA5">
      <w:pPr>
        <w:pStyle w:val="FSCnatHeading"/>
      </w:pPr>
      <w:r w:rsidRPr="00453F9C">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w:t>
      </w:r>
      <w:r w:rsidRPr="00D71F3E">
        <w:rPr>
          <w:i/>
        </w:rPr>
        <w:t xml:space="preserve"> Australia New Zealand Food Standards Code</w:t>
      </w:r>
      <w:r w:rsidRPr="001D1563">
        <w:rPr>
          <w:i/>
        </w:rPr>
        <w:t>.</w:t>
      </w:r>
      <w:r w:rsidRPr="001D1563">
        <w:t xml:space="preserve"> See also section 1.1.1—3.</w:t>
      </w:r>
    </w:p>
    <w:p w14:paraId="20B6DBDD" w14:textId="77777777" w:rsidR="00F73EA5" w:rsidRPr="001D1563" w:rsidRDefault="00F73EA5" w:rsidP="00F73EA5">
      <w:pPr>
        <w:pStyle w:val="FSCnatHeading"/>
      </w:pPr>
      <w:r w:rsidRPr="001D1563">
        <w:tab/>
        <w:t>Food produced using gene technology is re</w:t>
      </w:r>
      <w:r>
        <w:t>gulated by paragraphs</w:t>
      </w:r>
      <w:r w:rsidRPr="008107E8">
        <w:t xml:space="preserve"> 1.1.1—10(5)(c) and (6)(g) </w:t>
      </w:r>
      <w:r w:rsidRPr="001D1563">
        <w:t>and Standard 1.5.2. This standard lists food produced using gene technology, and corresponding conditions, for paragraph 1.5.2—3(a).</w:t>
      </w:r>
    </w:p>
    <w:p w14:paraId="221D7957" w14:textId="77777777" w:rsidR="00F73EA5" w:rsidRPr="001D1563" w:rsidRDefault="00F73EA5" w:rsidP="00F73EA5">
      <w:pPr>
        <w:pStyle w:val="FSCnatHeading"/>
      </w:pPr>
      <w:r w:rsidRPr="00453F9C">
        <w:rPr>
          <w:b/>
          <w:i/>
        </w:rPr>
        <w:t>Note</w:t>
      </w:r>
      <w:r w:rsidRPr="001D1563">
        <w:rPr>
          <w:b/>
          <w:i/>
        </w:rPr>
        <w:t xml:space="preserve"> 2</w:t>
      </w:r>
      <w:r w:rsidRPr="001D1563">
        <w:tab/>
        <w:t xml:space="preserve">The provisions of the Code that apply in New Zealand are incorporated in, or adopted under, the </w:t>
      </w:r>
      <w:r w:rsidRPr="001D1563">
        <w:rPr>
          <w:i/>
        </w:rPr>
        <w:t>Food Act 2014</w:t>
      </w:r>
      <w:r w:rsidRPr="001D1563">
        <w:t xml:space="preserve"> (NZ). See also section 1.1.1—3.</w:t>
      </w:r>
    </w:p>
    <w:p w14:paraId="5FC4C017" w14:textId="77777777" w:rsidR="00F73EA5" w:rsidRPr="001D1563" w:rsidRDefault="00F73EA5" w:rsidP="00F73EA5">
      <w:pPr>
        <w:pStyle w:val="FSCh5Section"/>
      </w:pPr>
      <w:bookmarkStart w:id="249" w:name="_Toc400032528"/>
      <w:bookmarkStart w:id="250" w:name="_Ref331337028"/>
      <w:bookmarkStart w:id="251" w:name="_Ref333235607"/>
      <w:bookmarkStart w:id="252" w:name="_Toc371505885"/>
      <w:r w:rsidRPr="001D1563">
        <w:rPr>
          <w:rFonts w:ascii="Arial Bold" w:hAnsi="Arial Bold"/>
        </w:rPr>
        <w:t>S26—1</w:t>
      </w:r>
      <w:r w:rsidRPr="001D1563">
        <w:tab/>
        <w:t>Name</w:t>
      </w:r>
      <w:bookmarkEnd w:id="249"/>
    </w:p>
    <w:p w14:paraId="1A0A291F" w14:textId="77777777" w:rsidR="00F73EA5" w:rsidRPr="00D71F3E" w:rsidRDefault="00F73EA5" w:rsidP="00F73EA5">
      <w:pPr>
        <w:pStyle w:val="FSCtMain"/>
      </w:pPr>
      <w:r w:rsidRPr="001D1563">
        <w:tab/>
      </w:r>
      <w:r w:rsidRPr="001D1563">
        <w:tab/>
        <w:t xml:space="preserve">This Standard is </w:t>
      </w:r>
      <w:r w:rsidRPr="001D1563">
        <w:rPr>
          <w:i/>
        </w:rPr>
        <w:t xml:space="preserve">Australia New Zealand Food Standards Code </w:t>
      </w:r>
      <w:r w:rsidRPr="00D71F3E">
        <w:t>– Schedule 26 – Food produced using gene technology.</w:t>
      </w:r>
    </w:p>
    <w:p w14:paraId="12D839EB" w14:textId="77777777" w:rsidR="00F73EA5" w:rsidRPr="001D1563" w:rsidRDefault="00F73EA5" w:rsidP="00F73EA5">
      <w:pPr>
        <w:pStyle w:val="FSCnMain"/>
      </w:pPr>
      <w:r w:rsidRPr="001D1563">
        <w:tab/>
      </w:r>
      <w:r w:rsidRPr="001D1563">
        <w:rPr>
          <w:b/>
          <w:i/>
        </w:rPr>
        <w:t>Note</w:t>
      </w:r>
      <w:r w:rsidRPr="001D1563">
        <w:rPr>
          <w:b/>
          <w:i/>
        </w:rPr>
        <w:tab/>
      </w:r>
      <w:r w:rsidRPr="001D1563">
        <w:t>Commencement:</w:t>
      </w:r>
      <w:r w:rsidRPr="001D1563">
        <w:rPr>
          <w:i/>
        </w:rPr>
        <w:br/>
      </w:r>
      <w:r w:rsidRPr="001D1563">
        <w:t xml:space="preserve">This Standard commences on 1 March 2016, being the date specified as the commencement date in notices in the </w:t>
      </w:r>
      <w:r w:rsidRPr="001D1563">
        <w:rPr>
          <w:i/>
        </w:rPr>
        <w:t>Gazette</w:t>
      </w:r>
      <w:r w:rsidRPr="001D1563">
        <w:t xml:space="preserve"> and the New Zealand Gazette under section 92 of the </w:t>
      </w:r>
      <w:r w:rsidRPr="001D1563">
        <w:rPr>
          <w:i/>
        </w:rPr>
        <w:t>Food Standards Australia New Zealand Act 1991</w:t>
      </w:r>
      <w:r w:rsidRPr="001D1563">
        <w:t xml:space="preserve"> (Cth). See also section 93 of that Act.</w:t>
      </w:r>
    </w:p>
    <w:p w14:paraId="0C32B3EE" w14:textId="77777777" w:rsidR="00F73EA5" w:rsidRPr="001D1563" w:rsidRDefault="00F73EA5" w:rsidP="00F73EA5">
      <w:pPr>
        <w:pStyle w:val="FSCh5Section"/>
      </w:pPr>
      <w:r w:rsidRPr="001D1563">
        <w:t>S26—2</w:t>
      </w:r>
      <w:r w:rsidRPr="001D1563">
        <w:tab/>
        <w:t>Interpretation</w:t>
      </w:r>
      <w:bookmarkEnd w:id="250"/>
      <w:bookmarkEnd w:id="251"/>
      <w:bookmarkEnd w:id="252"/>
    </w:p>
    <w:p w14:paraId="102D76D9" w14:textId="77777777" w:rsidR="00F73EA5" w:rsidRPr="001D1563" w:rsidRDefault="00F73EA5" w:rsidP="00F73EA5">
      <w:pPr>
        <w:pStyle w:val="FSCtMain"/>
      </w:pPr>
      <w:r w:rsidRPr="001D1563">
        <w:tab/>
        <w:t>(1)</w:t>
      </w:r>
      <w:r w:rsidRPr="001D1563">
        <w:tab/>
        <w:t>In this Schedule, headings in bold type are for information only, and do not list food for the purpose of section 1.5.2—3.</w:t>
      </w:r>
      <w:bookmarkStart w:id="253" w:name="_Ref334097279"/>
    </w:p>
    <w:p w14:paraId="3B351DF3" w14:textId="77777777" w:rsidR="00F73EA5" w:rsidRPr="001D1563" w:rsidRDefault="00F73EA5" w:rsidP="00F73EA5">
      <w:pPr>
        <w:pStyle w:val="FSCtMain"/>
      </w:pPr>
      <w:r w:rsidRPr="001D1563">
        <w:tab/>
        <w:t>(2)</w:t>
      </w:r>
      <w:r w:rsidRPr="001D1563">
        <w:tab/>
        <w:t>In this Schedule:</w:t>
      </w:r>
      <w:bookmarkEnd w:id="253"/>
    </w:p>
    <w:p w14:paraId="7FCAD92D" w14:textId="77777777" w:rsidR="00F73EA5" w:rsidRPr="00675D8F" w:rsidRDefault="00F73EA5" w:rsidP="00F73EA5">
      <w:pPr>
        <w:pStyle w:val="FSCtSubpara"/>
        <w:tabs>
          <w:tab w:val="clear" w:pos="2268"/>
          <w:tab w:val="left" w:pos="1701"/>
        </w:tabs>
        <w:rPr>
          <w:b/>
        </w:rPr>
      </w:pPr>
      <w:r>
        <w:t xml:space="preserve"> </w:t>
      </w:r>
      <w:r>
        <w:tab/>
      </w:r>
      <w:r w:rsidRPr="00675D8F">
        <w:rPr>
          <w:b/>
        </w:rPr>
        <w:t>…</w:t>
      </w:r>
    </w:p>
    <w:p w14:paraId="23FA94C0" w14:textId="77777777" w:rsidR="00F73EA5" w:rsidRDefault="00F73EA5" w:rsidP="00F73EA5">
      <w:pPr>
        <w:pStyle w:val="FSCtDefn"/>
        <w:rPr>
          <w:rFonts w:eastAsia="Calibri"/>
          <w:szCs w:val="20"/>
        </w:rPr>
      </w:pPr>
      <w:r w:rsidRPr="00D1467B">
        <w:rPr>
          <w:b/>
          <w:i/>
          <w:szCs w:val="20"/>
        </w:rPr>
        <w:t xml:space="preserve">Soy leghemoglobin preparation </w:t>
      </w:r>
      <w:r w:rsidRPr="00D1467B">
        <w:rPr>
          <w:szCs w:val="20"/>
        </w:rPr>
        <w:t xml:space="preserve">means a </w:t>
      </w:r>
      <w:r w:rsidRPr="00D1467B">
        <w:rPr>
          <w:rFonts w:eastAsia="Calibri"/>
          <w:szCs w:val="20"/>
        </w:rPr>
        <w:t xml:space="preserve">cell lysate preparation </w:t>
      </w:r>
      <w:r>
        <w:rPr>
          <w:rFonts w:eastAsia="Calibri"/>
          <w:szCs w:val="20"/>
        </w:rPr>
        <w:t>that:</w:t>
      </w:r>
    </w:p>
    <w:p w14:paraId="5F2957E6" w14:textId="77777777" w:rsidR="00F73EA5" w:rsidRPr="001D1563" w:rsidRDefault="00F73EA5" w:rsidP="00F73EA5">
      <w:pPr>
        <w:pStyle w:val="FSCtPara"/>
      </w:pPr>
      <w:r w:rsidRPr="001D1563">
        <w:tab/>
        <w:t>(a)</w:t>
      </w:r>
      <w:r w:rsidRPr="001D1563">
        <w:tab/>
      </w:r>
      <w:r>
        <w:t xml:space="preserve">is derived from </w:t>
      </w:r>
      <w:r w:rsidRPr="00D1467B">
        <w:rPr>
          <w:rFonts w:eastAsia="Calibri"/>
          <w:i/>
          <w:lang w:val="en-AU"/>
        </w:rPr>
        <w:t>Pichia Pastoris</w:t>
      </w:r>
      <w:r w:rsidRPr="00D1467B">
        <w:rPr>
          <w:rFonts w:eastAsia="Calibri"/>
          <w:lang w:val="en-AU"/>
        </w:rPr>
        <w:t xml:space="preserve"> containing the gene for leghemoglobin c2 from </w:t>
      </w:r>
      <w:r w:rsidRPr="00D1467B">
        <w:rPr>
          <w:rFonts w:eastAsia="Calibri"/>
          <w:i/>
          <w:lang w:val="en-AU"/>
        </w:rPr>
        <w:t>Glycine max</w:t>
      </w:r>
      <w:r>
        <w:rPr>
          <w:rFonts w:eastAsia="Calibri"/>
          <w:lang w:val="en-AU"/>
        </w:rPr>
        <w:t xml:space="preserve">; </w:t>
      </w:r>
      <w:r>
        <w:t>and</w:t>
      </w:r>
    </w:p>
    <w:p w14:paraId="501DFDB4" w14:textId="77777777" w:rsidR="00F73EA5" w:rsidRPr="001D1563" w:rsidRDefault="00F73EA5" w:rsidP="00F73EA5">
      <w:pPr>
        <w:pStyle w:val="FSCtPara"/>
      </w:pPr>
      <w:r w:rsidRPr="001D1563">
        <w:tab/>
        <w:t>(b)</w:t>
      </w:r>
      <w:r w:rsidRPr="001D1563">
        <w:tab/>
      </w:r>
      <w:r w:rsidRPr="00D1467B">
        <w:rPr>
          <w:rFonts w:eastAsia="Calibri"/>
          <w:szCs w:val="20"/>
          <w:lang w:val="en-AU"/>
        </w:rPr>
        <w:t xml:space="preserve">contains </w:t>
      </w:r>
      <w:r w:rsidRPr="00D1467B">
        <w:rPr>
          <w:rFonts w:eastAsia="Calibri"/>
          <w:szCs w:val="20"/>
        </w:rPr>
        <w:t>soy leghemoglobin</w:t>
      </w:r>
      <w:r>
        <w:rPr>
          <w:rFonts w:eastAsia="Calibri"/>
          <w:szCs w:val="20"/>
        </w:rPr>
        <w:t>.</w:t>
      </w:r>
    </w:p>
    <w:p w14:paraId="299AB27E" w14:textId="77777777" w:rsidR="00F73EA5" w:rsidRPr="00270ADA" w:rsidRDefault="00F73EA5" w:rsidP="00F73EA5">
      <w:pPr>
        <w:pStyle w:val="FSCtDefn"/>
      </w:pPr>
      <w:bookmarkStart w:id="254" w:name="_Ref338160659"/>
      <w:r w:rsidRPr="00270ADA">
        <w:rPr>
          <w:b/>
        </w:rPr>
        <w:t>…</w:t>
      </w:r>
    </w:p>
    <w:p w14:paraId="2EBE45EB" w14:textId="77777777" w:rsidR="00F73EA5" w:rsidRPr="001D1563" w:rsidRDefault="00F73EA5" w:rsidP="00F73EA5">
      <w:pPr>
        <w:pStyle w:val="FSCh5Section"/>
      </w:pPr>
      <w:bookmarkStart w:id="255" w:name="_Ref342055933"/>
      <w:bookmarkStart w:id="256" w:name="_Toc371505886"/>
      <w:bookmarkStart w:id="257" w:name="_Toc400032530"/>
      <w:r w:rsidRPr="001D1563">
        <w:t>S26—3</w:t>
      </w:r>
      <w:r w:rsidRPr="001D1563">
        <w:tab/>
        <w:t>Permitted food produced using gene technology</w:t>
      </w:r>
      <w:bookmarkEnd w:id="254"/>
      <w:bookmarkEnd w:id="255"/>
      <w:bookmarkEnd w:id="256"/>
      <w:r w:rsidRPr="001D1563">
        <w:t xml:space="preserve"> and conditions</w:t>
      </w:r>
      <w:bookmarkEnd w:id="257"/>
    </w:p>
    <w:p w14:paraId="548D2069" w14:textId="77777777" w:rsidR="00F73EA5" w:rsidRPr="00C135D6" w:rsidRDefault="00F73EA5" w:rsidP="00F73EA5">
      <w:pPr>
        <w:pStyle w:val="FSCtMain"/>
      </w:pPr>
      <w:r w:rsidRPr="001D1563">
        <w:tab/>
      </w:r>
      <w:r w:rsidRPr="00C135D6">
        <w:t xml:space="preserve">(1) </w:t>
      </w:r>
      <w:r>
        <w:tab/>
      </w:r>
      <w:r w:rsidRPr="00C135D6">
        <w:t xml:space="preserve">The table to subsection (4) and the table to subsection (7) list permitted food produced using gene technology. </w:t>
      </w:r>
    </w:p>
    <w:p w14:paraId="45214665" w14:textId="77777777" w:rsidR="00F73EA5" w:rsidRPr="00C135D6" w:rsidRDefault="00F73EA5" w:rsidP="00F73EA5">
      <w:pPr>
        <w:pStyle w:val="FSCtMain"/>
      </w:pPr>
      <w:r>
        <w:tab/>
      </w:r>
      <w:r w:rsidRPr="00C135D6">
        <w:t xml:space="preserve">(2) </w:t>
      </w:r>
      <w:r>
        <w:tab/>
      </w:r>
      <w:r w:rsidRPr="00C135D6">
        <w:t xml:space="preserve">Items 1(g), 2(m), 7(e), (g) and (h), and 9(a) of the table to subsection (4) are subject to the condition that their labelling must comply with section 1.5.2—4. </w:t>
      </w:r>
    </w:p>
    <w:p w14:paraId="289659E6" w14:textId="77777777" w:rsidR="00F73EA5" w:rsidRPr="00C135D6" w:rsidRDefault="00F73EA5" w:rsidP="00F73EA5">
      <w:pPr>
        <w:pStyle w:val="FSCtMain"/>
      </w:pPr>
      <w:r>
        <w:rPr>
          <w:b/>
          <w:bCs/>
          <w:i/>
        </w:rPr>
        <w:tab/>
      </w:r>
      <w:r>
        <w:rPr>
          <w:b/>
          <w:bCs/>
          <w:i/>
        </w:rPr>
        <w:tab/>
      </w:r>
      <w:r w:rsidRPr="00C135D6">
        <w:rPr>
          <w:b/>
          <w:i/>
          <w:iCs w:val="0"/>
          <w:sz w:val="16"/>
          <w:szCs w:val="18"/>
        </w:rPr>
        <w:t xml:space="preserve">Note </w:t>
      </w:r>
      <w:r>
        <w:rPr>
          <w:b/>
          <w:i/>
          <w:iCs w:val="0"/>
          <w:sz w:val="16"/>
          <w:szCs w:val="18"/>
        </w:rPr>
        <w:tab/>
      </w:r>
      <w:r w:rsidRPr="00C135D6">
        <w:rPr>
          <w:i/>
          <w:iCs w:val="0"/>
          <w:sz w:val="16"/>
          <w:szCs w:val="18"/>
        </w:rPr>
        <w:t>That section requires the statement ‘genetically modified’.</w:t>
      </w:r>
      <w:r w:rsidRPr="00C135D6">
        <w:t xml:space="preserve"> </w:t>
      </w:r>
    </w:p>
    <w:p w14:paraId="2B0391CA" w14:textId="77777777" w:rsidR="00F73EA5" w:rsidRPr="00C135D6" w:rsidRDefault="00F73EA5" w:rsidP="00F73EA5">
      <w:pPr>
        <w:pStyle w:val="FSCtMain"/>
      </w:pPr>
      <w:r>
        <w:tab/>
      </w:r>
      <w:r w:rsidRPr="00C135D6">
        <w:t xml:space="preserve">(2A) </w:t>
      </w:r>
      <w:r>
        <w:tab/>
      </w:r>
      <w:r w:rsidRPr="00C135D6">
        <w:t xml:space="preserve">Products containing beta-carotene from item 6(b) of the table to subsection (4) are subject to the condition that their labelling must comply with section 1.5.2—4. </w:t>
      </w:r>
    </w:p>
    <w:p w14:paraId="42FCC5EE" w14:textId="77777777" w:rsidR="00F73EA5" w:rsidRDefault="00F73EA5" w:rsidP="00F73EA5">
      <w:pPr>
        <w:pStyle w:val="FSCtMain"/>
      </w:pPr>
      <w:r>
        <w:tab/>
      </w:r>
      <w:r w:rsidRPr="00C135D6">
        <w:t xml:space="preserve">(3) </w:t>
      </w:r>
      <w:r>
        <w:tab/>
      </w:r>
      <w:r w:rsidRPr="00C135D6">
        <w:t>Item 2(m) of the table to subsection (4) is also subject to the condition that, for the labelling provisions, unless the protein content has been removed as part of a</w:t>
      </w:r>
      <w:r>
        <w:t xml:space="preserve"> </w:t>
      </w:r>
      <w:r>
        <w:rPr>
          <w:szCs w:val="20"/>
        </w:rPr>
        <w:t>refining process, the information relating to *foods produced using gene technology includes a statement to the effect that the high lysine corn line LY038 has been genetically modified to contain increased levels of lysine.</w:t>
      </w:r>
    </w:p>
    <w:p w14:paraId="7642033D" w14:textId="77777777" w:rsidR="00F73EA5" w:rsidRPr="001D1563" w:rsidRDefault="00F73EA5" w:rsidP="00F73EA5">
      <w:pPr>
        <w:pStyle w:val="FSCtMain"/>
      </w:pPr>
      <w:r w:rsidRPr="001D1563">
        <w:tab/>
        <w:t>(4)</w:t>
      </w:r>
      <w:r w:rsidRPr="001D1563">
        <w:tab/>
        <w:t>The table for this subsection is:</w:t>
      </w:r>
    </w:p>
    <w:p w14:paraId="5D833BD0" w14:textId="77777777" w:rsidR="00F73EA5" w:rsidRPr="001D1563" w:rsidRDefault="00F73EA5" w:rsidP="00F73EA5">
      <w:pPr>
        <w:pStyle w:val="FSCtblh2"/>
      </w:pPr>
      <w:r w:rsidRPr="001D1563">
        <w:t xml:space="preserve">Food produced using </w:t>
      </w:r>
      <w:r w:rsidRPr="00C135D6">
        <w:t>gene technology of plant origin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F73EA5" w:rsidRPr="00D71F3E" w14:paraId="7BD55785" w14:textId="77777777" w:rsidTr="00623FDD">
        <w:trPr>
          <w:cantSplit/>
          <w:tblHeader/>
        </w:trPr>
        <w:tc>
          <w:tcPr>
            <w:tcW w:w="2093" w:type="dxa"/>
            <w:gridSpan w:val="2"/>
            <w:tcBorders>
              <w:top w:val="single" w:sz="4" w:space="0" w:color="auto"/>
              <w:bottom w:val="single" w:sz="4" w:space="0" w:color="auto"/>
            </w:tcBorders>
          </w:tcPr>
          <w:p w14:paraId="0E9A6FC2" w14:textId="77777777" w:rsidR="00F73EA5" w:rsidRPr="00D71F3E" w:rsidRDefault="00F73EA5" w:rsidP="00623FDD">
            <w:pPr>
              <w:pStyle w:val="FSCtblh3"/>
            </w:pPr>
            <w:r w:rsidRPr="00D71F3E">
              <w:t>Commodity</w:t>
            </w:r>
          </w:p>
        </w:tc>
        <w:tc>
          <w:tcPr>
            <w:tcW w:w="6979" w:type="dxa"/>
            <w:tcBorders>
              <w:top w:val="single" w:sz="4" w:space="0" w:color="auto"/>
              <w:bottom w:val="single" w:sz="4" w:space="0" w:color="auto"/>
            </w:tcBorders>
          </w:tcPr>
          <w:p w14:paraId="55BE2D1B" w14:textId="77777777" w:rsidR="00F73EA5" w:rsidRPr="00D71F3E" w:rsidRDefault="00F73EA5" w:rsidP="00623FDD">
            <w:pPr>
              <w:pStyle w:val="FSCtblh3"/>
            </w:pPr>
            <w:r w:rsidRPr="00D71F3E">
              <w:t>Food derived from:</w:t>
            </w:r>
          </w:p>
        </w:tc>
      </w:tr>
      <w:tr w:rsidR="00F73EA5" w:rsidRPr="00D71F3E" w14:paraId="328560A9" w14:textId="77777777" w:rsidTr="00623FDD">
        <w:trPr>
          <w:cantSplit/>
          <w:trHeight w:val="67"/>
        </w:trPr>
        <w:tc>
          <w:tcPr>
            <w:tcW w:w="903" w:type="dxa"/>
            <w:tcBorders>
              <w:top w:val="single" w:sz="4" w:space="0" w:color="auto"/>
            </w:tcBorders>
          </w:tcPr>
          <w:p w14:paraId="428B8D0A" w14:textId="77777777" w:rsidR="00F73EA5" w:rsidRPr="00DE6404" w:rsidRDefault="00F73EA5" w:rsidP="00623FDD">
            <w:pPr>
              <w:pStyle w:val="FSCtblMain"/>
              <w:rPr>
                <w:b/>
              </w:rPr>
            </w:pPr>
            <w:r>
              <w:rPr>
                <w:b/>
              </w:rPr>
              <w:t>…</w:t>
            </w:r>
          </w:p>
        </w:tc>
        <w:tc>
          <w:tcPr>
            <w:tcW w:w="1190" w:type="dxa"/>
            <w:tcBorders>
              <w:top w:val="single" w:sz="4" w:space="0" w:color="auto"/>
            </w:tcBorders>
          </w:tcPr>
          <w:p w14:paraId="7EAE9F0E" w14:textId="77777777" w:rsidR="00F73EA5" w:rsidRPr="00DE6404" w:rsidRDefault="00F73EA5" w:rsidP="00623FDD">
            <w:pPr>
              <w:pStyle w:val="FSCtblMain"/>
              <w:rPr>
                <w:b/>
              </w:rPr>
            </w:pPr>
          </w:p>
        </w:tc>
        <w:tc>
          <w:tcPr>
            <w:tcW w:w="6979" w:type="dxa"/>
            <w:tcBorders>
              <w:top w:val="single" w:sz="4" w:space="0" w:color="auto"/>
            </w:tcBorders>
          </w:tcPr>
          <w:p w14:paraId="0C18E7E8" w14:textId="77777777" w:rsidR="00F73EA5" w:rsidRPr="00D71F3E" w:rsidRDefault="00F73EA5" w:rsidP="00623FDD">
            <w:pPr>
              <w:pStyle w:val="FSCtblPara"/>
            </w:pPr>
            <w:r>
              <w:t>…</w:t>
            </w:r>
          </w:p>
        </w:tc>
      </w:tr>
    </w:tbl>
    <w:p w14:paraId="41DA01C5" w14:textId="77777777" w:rsidR="00F73EA5" w:rsidRDefault="00F73EA5" w:rsidP="00F73EA5"/>
    <w:p w14:paraId="6382BC41" w14:textId="77777777" w:rsidR="00F73EA5" w:rsidRDefault="00F73EA5" w:rsidP="00F73EA5">
      <w:pPr>
        <w:pStyle w:val="FSCtMain"/>
        <w:ind w:hanging="567"/>
      </w:pPr>
      <w:r>
        <w:t xml:space="preserve">(5) </w:t>
      </w:r>
      <w:r>
        <w:tab/>
        <w:t>A food listed in the table to subsection (7) must comply with any corresponding conditions listed in that table.</w:t>
      </w:r>
    </w:p>
    <w:p w14:paraId="297CF3B7" w14:textId="77777777" w:rsidR="00F73EA5" w:rsidRDefault="00F73EA5" w:rsidP="00F73EA5">
      <w:pPr>
        <w:pStyle w:val="FSCtMain"/>
      </w:pPr>
      <w:r>
        <w:tab/>
        <w:t xml:space="preserve">(6) </w:t>
      </w:r>
      <w:r>
        <w:tab/>
        <w:t>A source listed in the table to subsection (7) may contain additional copies of genes from the same strain.</w:t>
      </w:r>
    </w:p>
    <w:p w14:paraId="399E6EC0" w14:textId="77777777" w:rsidR="00F73EA5" w:rsidRDefault="00F73EA5" w:rsidP="00F73EA5">
      <w:pPr>
        <w:pStyle w:val="FSCtMain"/>
      </w:pPr>
      <w:r>
        <w:lastRenderedPageBreak/>
        <w:tab/>
        <w:t xml:space="preserve">(7) </w:t>
      </w:r>
      <w:r>
        <w:tab/>
        <w:t>The table for this subsection is:</w:t>
      </w:r>
    </w:p>
    <w:p w14:paraId="0E0B893B" w14:textId="77777777" w:rsidR="00F73EA5" w:rsidRPr="009A61B0" w:rsidRDefault="00F73EA5" w:rsidP="00F73EA5">
      <w:pPr>
        <w:shd w:val="clear" w:color="auto" w:fill="FFFFFF"/>
        <w:spacing w:after="120"/>
        <w:ind w:left="993"/>
        <w:jc w:val="center"/>
        <w:rPr>
          <w:rFonts w:cs="Arial"/>
          <w:b/>
          <w:sz w:val="19"/>
          <w:szCs w:val="19"/>
          <w:lang w:val="en-US" w:eastAsia="en-GB"/>
        </w:rPr>
      </w:pPr>
      <w:r w:rsidRPr="009A61B0">
        <w:rPr>
          <w:rFonts w:cs="Arial"/>
          <w:b/>
          <w:sz w:val="19"/>
          <w:szCs w:val="19"/>
          <w:lang w:eastAsia="en-GB"/>
        </w:rPr>
        <w:t xml:space="preserve">Food produced using gene technology of microbial origin </w:t>
      </w:r>
    </w:p>
    <w:tbl>
      <w:tblPr>
        <w:tblW w:w="9072" w:type="dxa"/>
        <w:tblLayout w:type="fixed"/>
        <w:tblCellMar>
          <w:left w:w="0" w:type="dxa"/>
          <w:right w:w="0" w:type="dxa"/>
        </w:tblCellMar>
        <w:tblLook w:val="04A0" w:firstRow="1" w:lastRow="0" w:firstColumn="1" w:lastColumn="0" w:noHBand="0" w:noVBand="1"/>
      </w:tblPr>
      <w:tblGrid>
        <w:gridCol w:w="284"/>
        <w:gridCol w:w="37"/>
        <w:gridCol w:w="1626"/>
        <w:gridCol w:w="223"/>
        <w:gridCol w:w="240"/>
        <w:gridCol w:w="279"/>
        <w:gridCol w:w="2414"/>
        <w:gridCol w:w="709"/>
        <w:gridCol w:w="3260"/>
      </w:tblGrid>
      <w:tr w:rsidR="00F73EA5" w:rsidRPr="009A61B0" w14:paraId="21AE6018" w14:textId="77777777" w:rsidTr="00BC1E81">
        <w:trPr>
          <w:cantSplit/>
          <w:trHeight w:val="283"/>
          <w:tblHeader/>
        </w:trPr>
        <w:tc>
          <w:tcPr>
            <w:tcW w:w="2689" w:type="dxa"/>
            <w:gridSpan w:val="6"/>
            <w:tcBorders>
              <w:top w:val="single" w:sz="8" w:space="0" w:color="auto"/>
              <w:left w:val="nil"/>
              <w:bottom w:val="single" w:sz="8" w:space="0" w:color="auto"/>
              <w:right w:val="nil"/>
            </w:tcBorders>
            <w:tcMar>
              <w:top w:w="0" w:type="dxa"/>
              <w:left w:w="108" w:type="dxa"/>
              <w:bottom w:w="0" w:type="dxa"/>
              <w:right w:w="108" w:type="dxa"/>
            </w:tcMar>
            <w:vAlign w:val="center"/>
            <w:hideMark/>
          </w:tcPr>
          <w:p w14:paraId="6B9C48DD" w14:textId="77777777" w:rsidR="00F73EA5" w:rsidRPr="009A61B0" w:rsidRDefault="00F73EA5" w:rsidP="00623FDD">
            <w:pPr>
              <w:spacing w:before="100" w:beforeAutospacing="1" w:after="100" w:afterAutospacing="1"/>
              <w:rPr>
                <w:rFonts w:cs="Arial"/>
                <w:b/>
                <w:i/>
                <w:sz w:val="18"/>
                <w:szCs w:val="19"/>
                <w:lang w:eastAsia="en-GB"/>
              </w:rPr>
            </w:pPr>
            <w:r w:rsidRPr="009A61B0">
              <w:rPr>
                <w:rFonts w:cs="Arial"/>
                <w:b/>
                <w:i/>
                <w:sz w:val="18"/>
                <w:szCs w:val="19"/>
                <w:lang w:eastAsia="en-GB"/>
              </w:rPr>
              <w:t>Substance</w:t>
            </w:r>
          </w:p>
        </w:tc>
        <w:tc>
          <w:tcPr>
            <w:tcW w:w="3123" w:type="dxa"/>
            <w:gridSpan w:val="2"/>
            <w:tcBorders>
              <w:top w:val="single" w:sz="8" w:space="0" w:color="auto"/>
              <w:left w:val="nil"/>
              <w:bottom w:val="single" w:sz="8" w:space="0" w:color="auto"/>
              <w:right w:val="nil"/>
            </w:tcBorders>
            <w:vAlign w:val="center"/>
            <w:hideMark/>
          </w:tcPr>
          <w:p w14:paraId="65A43B79" w14:textId="77777777" w:rsidR="00F73EA5" w:rsidRPr="009A61B0" w:rsidRDefault="00F73EA5" w:rsidP="00623FDD">
            <w:pPr>
              <w:spacing w:before="100" w:beforeAutospacing="1" w:after="100" w:afterAutospacing="1"/>
              <w:ind w:right="36"/>
              <w:rPr>
                <w:rFonts w:cs="Arial"/>
                <w:b/>
                <w:i/>
                <w:sz w:val="18"/>
                <w:szCs w:val="19"/>
                <w:lang w:eastAsia="en-GB"/>
              </w:rPr>
            </w:pPr>
            <w:r w:rsidRPr="009A61B0">
              <w:rPr>
                <w:rFonts w:cs="Arial"/>
                <w:b/>
                <w:i/>
                <w:sz w:val="18"/>
                <w:szCs w:val="19"/>
                <w:lang w:eastAsia="en-GB"/>
              </w:rPr>
              <w:t>Source</w:t>
            </w:r>
          </w:p>
        </w:tc>
        <w:tc>
          <w:tcPr>
            <w:tcW w:w="3260" w:type="dxa"/>
            <w:tcBorders>
              <w:top w:val="single" w:sz="8" w:space="0" w:color="auto"/>
              <w:left w:val="nil"/>
              <w:bottom w:val="single" w:sz="8" w:space="0" w:color="auto"/>
              <w:right w:val="nil"/>
            </w:tcBorders>
            <w:hideMark/>
          </w:tcPr>
          <w:p w14:paraId="688A6E17" w14:textId="77777777" w:rsidR="00F73EA5" w:rsidRPr="009A61B0" w:rsidRDefault="00F73EA5" w:rsidP="00623FDD">
            <w:pPr>
              <w:spacing w:before="100" w:beforeAutospacing="1" w:after="100" w:afterAutospacing="1"/>
              <w:ind w:right="284"/>
              <w:rPr>
                <w:rFonts w:cs="Arial"/>
                <w:b/>
                <w:i/>
                <w:sz w:val="18"/>
                <w:szCs w:val="19"/>
                <w:lang w:eastAsia="en-GB"/>
              </w:rPr>
            </w:pPr>
            <w:r w:rsidRPr="009A61B0">
              <w:rPr>
                <w:rFonts w:cs="Arial"/>
                <w:b/>
                <w:i/>
                <w:sz w:val="18"/>
                <w:szCs w:val="19"/>
                <w:lang w:eastAsia="en-GB"/>
              </w:rPr>
              <w:t>Conditions of use</w:t>
            </w:r>
          </w:p>
        </w:tc>
      </w:tr>
      <w:tr w:rsidR="00F73EA5" w:rsidRPr="009A61B0" w14:paraId="2EA8BF34" w14:textId="77777777" w:rsidTr="00BC1E81">
        <w:trPr>
          <w:cantSplit/>
          <w:trHeight w:val="329"/>
        </w:trPr>
        <w:tc>
          <w:tcPr>
            <w:tcW w:w="284" w:type="dxa"/>
            <w:tcBorders>
              <w:top w:val="nil"/>
              <w:left w:val="nil"/>
              <w:bottom w:val="single" w:sz="4" w:space="0" w:color="auto"/>
              <w:right w:val="nil"/>
            </w:tcBorders>
            <w:tcMar>
              <w:top w:w="0" w:type="dxa"/>
              <w:left w:w="108" w:type="dxa"/>
              <w:bottom w:w="0" w:type="dxa"/>
              <w:right w:w="108" w:type="dxa"/>
            </w:tcMar>
            <w:hideMark/>
          </w:tcPr>
          <w:p w14:paraId="39A9363C" w14:textId="77777777" w:rsidR="00F73EA5" w:rsidRPr="009A61B0" w:rsidRDefault="00F73EA5" w:rsidP="00623FDD">
            <w:pPr>
              <w:spacing w:before="60" w:after="60"/>
              <w:rPr>
                <w:rFonts w:cs="Arial"/>
                <w:sz w:val="18"/>
                <w:szCs w:val="18"/>
                <w:lang w:eastAsia="en-GB"/>
              </w:rPr>
            </w:pPr>
            <w:r w:rsidRPr="009A61B0">
              <w:rPr>
                <w:rFonts w:cs="Arial"/>
                <w:b/>
                <w:bCs/>
                <w:sz w:val="18"/>
                <w:szCs w:val="18"/>
                <w:lang w:eastAsia="en-GB"/>
              </w:rPr>
              <w:t>1</w:t>
            </w:r>
          </w:p>
        </w:tc>
        <w:tc>
          <w:tcPr>
            <w:tcW w:w="2126" w:type="dxa"/>
            <w:gridSpan w:val="4"/>
            <w:tcBorders>
              <w:top w:val="nil"/>
              <w:left w:val="nil"/>
              <w:bottom w:val="single" w:sz="4" w:space="0" w:color="auto"/>
              <w:right w:val="nil"/>
            </w:tcBorders>
            <w:tcMar>
              <w:top w:w="0" w:type="dxa"/>
              <w:left w:w="108" w:type="dxa"/>
              <w:bottom w:w="0" w:type="dxa"/>
              <w:right w:w="108" w:type="dxa"/>
            </w:tcMar>
            <w:hideMark/>
          </w:tcPr>
          <w:p w14:paraId="2B927A82" w14:textId="77777777" w:rsidR="00F73EA5" w:rsidRPr="009A61B0" w:rsidRDefault="00F73EA5" w:rsidP="00623FDD">
            <w:pPr>
              <w:spacing w:before="60" w:after="60"/>
              <w:rPr>
                <w:rFonts w:cs="Arial"/>
                <w:sz w:val="18"/>
                <w:szCs w:val="18"/>
                <w:lang w:eastAsia="en-GB"/>
              </w:rPr>
            </w:pPr>
            <w:r w:rsidRPr="009A61B0">
              <w:rPr>
                <w:rFonts w:cs="Arial"/>
                <w:b/>
                <w:bCs/>
                <w:sz w:val="18"/>
                <w:szCs w:val="18"/>
                <w:lang w:eastAsia="en-GB"/>
              </w:rPr>
              <w:t>2′-O-fucosyllactose</w:t>
            </w:r>
          </w:p>
        </w:tc>
        <w:tc>
          <w:tcPr>
            <w:tcW w:w="2693" w:type="dxa"/>
            <w:gridSpan w:val="2"/>
            <w:tcBorders>
              <w:top w:val="nil"/>
              <w:left w:val="nil"/>
              <w:bottom w:val="single" w:sz="4" w:space="0" w:color="auto"/>
              <w:right w:val="nil"/>
            </w:tcBorders>
            <w:hideMark/>
          </w:tcPr>
          <w:p w14:paraId="2D72977B" w14:textId="77777777" w:rsidR="00F73EA5" w:rsidRPr="009A61B0" w:rsidRDefault="00F73EA5" w:rsidP="00F73EA5">
            <w:pPr>
              <w:numPr>
                <w:ilvl w:val="0"/>
                <w:numId w:val="40"/>
              </w:numPr>
              <w:spacing w:before="60" w:after="60"/>
              <w:ind w:left="423" w:right="36" w:hanging="286"/>
              <w:contextualSpacing/>
              <w:rPr>
                <w:rFonts w:cs="Arial"/>
                <w:sz w:val="18"/>
                <w:szCs w:val="18"/>
                <w:lang w:eastAsia="en-GB"/>
              </w:rPr>
            </w:pPr>
            <w:r w:rsidRPr="009A61B0">
              <w:rPr>
                <w:rFonts w:cs="Arial"/>
                <w:i/>
                <w:sz w:val="18"/>
                <w:szCs w:val="18"/>
                <w:lang w:eastAsia="en-GB"/>
              </w:rPr>
              <w:t>Escherichia coli</w:t>
            </w:r>
            <w:r w:rsidRPr="009A61B0">
              <w:rPr>
                <w:rFonts w:cs="Arial"/>
                <w:sz w:val="18"/>
                <w:szCs w:val="18"/>
                <w:lang w:eastAsia="en-GB"/>
              </w:rPr>
              <w:t xml:space="preserve"> K-12 containing the gene for alpha-1,2-fucosyltransferase from </w:t>
            </w:r>
            <w:r w:rsidRPr="009A61B0">
              <w:rPr>
                <w:rFonts w:cs="Arial"/>
                <w:i/>
                <w:sz w:val="18"/>
                <w:szCs w:val="18"/>
                <w:lang w:eastAsia="en-GB"/>
              </w:rPr>
              <w:t>Helicobacter pylori</w:t>
            </w:r>
          </w:p>
        </w:tc>
        <w:tc>
          <w:tcPr>
            <w:tcW w:w="709" w:type="dxa"/>
            <w:tcBorders>
              <w:top w:val="nil"/>
              <w:left w:val="nil"/>
              <w:bottom w:val="single" w:sz="4" w:space="0" w:color="auto"/>
              <w:right w:val="nil"/>
            </w:tcBorders>
            <w:tcMar>
              <w:top w:w="0" w:type="dxa"/>
              <w:left w:w="108" w:type="dxa"/>
              <w:bottom w:w="0" w:type="dxa"/>
              <w:right w:w="108" w:type="dxa"/>
            </w:tcMar>
            <w:hideMark/>
          </w:tcPr>
          <w:p w14:paraId="202A23C0" w14:textId="77777777" w:rsidR="00F73EA5" w:rsidRPr="009A61B0" w:rsidRDefault="00F73EA5" w:rsidP="00623FDD">
            <w:pPr>
              <w:rPr>
                <w:rFonts w:cs="Arial"/>
                <w:sz w:val="18"/>
                <w:szCs w:val="18"/>
                <w:lang w:eastAsia="en-GB"/>
              </w:rPr>
            </w:pPr>
          </w:p>
        </w:tc>
        <w:tc>
          <w:tcPr>
            <w:tcW w:w="3260" w:type="dxa"/>
            <w:tcBorders>
              <w:top w:val="nil"/>
              <w:left w:val="nil"/>
              <w:bottom w:val="single" w:sz="4" w:space="0" w:color="auto"/>
              <w:right w:val="nil"/>
            </w:tcBorders>
            <w:hideMark/>
          </w:tcPr>
          <w:p w14:paraId="0BAA3CF8" w14:textId="77777777" w:rsidR="00F73EA5" w:rsidRPr="009A61B0" w:rsidRDefault="00F73EA5" w:rsidP="00F73EA5">
            <w:pPr>
              <w:numPr>
                <w:ilvl w:val="0"/>
                <w:numId w:val="41"/>
              </w:numPr>
              <w:spacing w:before="60" w:after="60"/>
              <w:ind w:left="305" w:right="34" w:hanging="283"/>
              <w:contextualSpacing/>
              <w:rPr>
                <w:rFonts w:cs="Arial"/>
                <w:sz w:val="18"/>
                <w:szCs w:val="18"/>
                <w:lang w:eastAsia="en-GB"/>
              </w:rPr>
            </w:pPr>
            <w:r w:rsidRPr="009A61B0">
              <w:rPr>
                <w:rFonts w:cs="Arial"/>
                <w:sz w:val="18"/>
                <w:szCs w:val="18"/>
              </w:rPr>
              <w:t xml:space="preserve">May only be added to infant formula products and to </w:t>
            </w:r>
            <w:r w:rsidRPr="009A61B0">
              <w:rPr>
                <w:sz w:val="18"/>
                <w:szCs w:val="18"/>
              </w:rPr>
              <w:t>formulated supplementary food for young children.</w:t>
            </w:r>
          </w:p>
          <w:p w14:paraId="1CF19CC2" w14:textId="77777777" w:rsidR="00F73EA5" w:rsidRPr="009A61B0" w:rsidRDefault="00F73EA5" w:rsidP="00F73EA5">
            <w:pPr>
              <w:numPr>
                <w:ilvl w:val="0"/>
                <w:numId w:val="41"/>
              </w:numPr>
              <w:spacing w:before="60" w:after="60"/>
              <w:ind w:left="305" w:right="36" w:hanging="283"/>
              <w:contextualSpacing/>
              <w:rPr>
                <w:rFonts w:cs="Arial"/>
                <w:sz w:val="18"/>
                <w:szCs w:val="18"/>
                <w:lang w:eastAsia="en-GB"/>
              </w:rPr>
            </w:pPr>
            <w:r w:rsidRPr="009A61B0">
              <w:rPr>
                <w:rFonts w:cs="Arial"/>
                <w:sz w:val="18"/>
                <w:szCs w:val="18"/>
                <w:lang w:eastAsia="en-GB"/>
              </w:rPr>
              <w:t xml:space="preserve">During the </w:t>
            </w:r>
            <w:r w:rsidRPr="009A61B0">
              <w:rPr>
                <w:sz w:val="18"/>
                <w:szCs w:val="18"/>
              </w:rPr>
              <w:t xml:space="preserve">exclusive use period, may only be sold under </w:t>
            </w:r>
            <w:r w:rsidRPr="009A61B0">
              <w:rPr>
                <w:rFonts w:cs="Arial"/>
                <w:sz w:val="18"/>
                <w:szCs w:val="18"/>
              </w:rPr>
              <w:t>the brand GlyCare.</w:t>
            </w:r>
          </w:p>
          <w:p w14:paraId="7C178DD3" w14:textId="77777777" w:rsidR="00F73EA5" w:rsidRPr="009A61B0" w:rsidRDefault="00F73EA5" w:rsidP="00F73EA5">
            <w:pPr>
              <w:numPr>
                <w:ilvl w:val="0"/>
                <w:numId w:val="41"/>
              </w:numPr>
              <w:spacing w:before="60" w:after="60"/>
              <w:ind w:left="305" w:right="36" w:hanging="283"/>
              <w:contextualSpacing/>
              <w:rPr>
                <w:rFonts w:cs="Arial"/>
                <w:sz w:val="18"/>
                <w:szCs w:val="18"/>
                <w:lang w:eastAsia="en-GB"/>
              </w:rPr>
            </w:pPr>
            <w:r w:rsidRPr="009A61B0">
              <w:rPr>
                <w:sz w:val="18"/>
                <w:szCs w:val="18"/>
              </w:rPr>
              <w:t xml:space="preserve">For the purposes of condition 2 above, </w:t>
            </w:r>
            <w:r w:rsidRPr="009A61B0">
              <w:rPr>
                <w:b/>
                <w:sz w:val="18"/>
                <w:szCs w:val="18"/>
              </w:rPr>
              <w:t>exclusive use period</w:t>
            </w:r>
            <w:r w:rsidRPr="009A61B0">
              <w:rPr>
                <w:sz w:val="18"/>
                <w:szCs w:val="18"/>
              </w:rPr>
              <w:t xml:space="preserve"> means the period commencing on the date of gazettal of the </w:t>
            </w:r>
            <w:r w:rsidRPr="009A61B0">
              <w:rPr>
                <w:i/>
                <w:sz w:val="18"/>
                <w:szCs w:val="18"/>
              </w:rPr>
              <w:t>Food Standards (Application A1155 – 2</w:t>
            </w:r>
            <w:r w:rsidRPr="009A61B0">
              <w:rPr>
                <w:rFonts w:cs="Arial"/>
                <w:i/>
                <w:sz w:val="18"/>
                <w:szCs w:val="18"/>
              </w:rPr>
              <w:t>′</w:t>
            </w:r>
            <w:r w:rsidRPr="009A61B0">
              <w:rPr>
                <w:i/>
                <w:sz w:val="18"/>
                <w:szCs w:val="18"/>
              </w:rPr>
              <w:t>-FL and LNnT in infant formula and other products) Variation</w:t>
            </w:r>
            <w:r w:rsidRPr="009A61B0">
              <w:rPr>
                <w:sz w:val="18"/>
                <w:szCs w:val="18"/>
              </w:rPr>
              <w:t xml:space="preserve"> and ending 15 months after that date.</w:t>
            </w:r>
          </w:p>
        </w:tc>
      </w:tr>
      <w:tr w:rsidR="00F73EA5" w:rsidRPr="009A61B0" w14:paraId="133A5398" w14:textId="77777777" w:rsidTr="00BC1E81">
        <w:trPr>
          <w:cantSplit/>
          <w:trHeight w:val="329"/>
        </w:trPr>
        <w:tc>
          <w:tcPr>
            <w:tcW w:w="284" w:type="dxa"/>
            <w:tcBorders>
              <w:top w:val="nil"/>
              <w:left w:val="nil"/>
              <w:bottom w:val="single" w:sz="4" w:space="0" w:color="auto"/>
              <w:right w:val="nil"/>
            </w:tcBorders>
            <w:tcMar>
              <w:top w:w="0" w:type="dxa"/>
              <w:left w:w="108" w:type="dxa"/>
              <w:bottom w:w="0" w:type="dxa"/>
              <w:right w:w="108" w:type="dxa"/>
            </w:tcMar>
            <w:hideMark/>
          </w:tcPr>
          <w:p w14:paraId="1ABC08EE" w14:textId="77777777" w:rsidR="00F73EA5" w:rsidRPr="009A61B0" w:rsidRDefault="00F73EA5" w:rsidP="00623FDD">
            <w:pPr>
              <w:spacing w:before="60" w:after="60"/>
              <w:rPr>
                <w:rFonts w:cs="Arial"/>
                <w:b/>
                <w:bCs/>
                <w:sz w:val="18"/>
                <w:szCs w:val="18"/>
                <w:lang w:eastAsia="en-GB"/>
              </w:rPr>
            </w:pPr>
            <w:r w:rsidRPr="009A61B0">
              <w:rPr>
                <w:rFonts w:cs="Arial"/>
                <w:b/>
                <w:bCs/>
                <w:sz w:val="18"/>
                <w:szCs w:val="18"/>
                <w:lang w:eastAsia="en-GB"/>
              </w:rPr>
              <w:t>2</w:t>
            </w:r>
          </w:p>
        </w:tc>
        <w:tc>
          <w:tcPr>
            <w:tcW w:w="2126" w:type="dxa"/>
            <w:gridSpan w:val="4"/>
            <w:tcBorders>
              <w:top w:val="nil"/>
              <w:left w:val="nil"/>
              <w:bottom w:val="single" w:sz="4" w:space="0" w:color="auto"/>
              <w:right w:val="nil"/>
            </w:tcBorders>
            <w:tcMar>
              <w:top w:w="0" w:type="dxa"/>
              <w:left w:w="108" w:type="dxa"/>
              <w:bottom w:w="0" w:type="dxa"/>
              <w:right w:w="108" w:type="dxa"/>
            </w:tcMar>
            <w:hideMark/>
          </w:tcPr>
          <w:p w14:paraId="3AAF6089" w14:textId="77777777" w:rsidR="00F73EA5" w:rsidRPr="009A61B0" w:rsidRDefault="00F73EA5" w:rsidP="00623FDD">
            <w:pPr>
              <w:spacing w:before="60" w:after="60"/>
              <w:rPr>
                <w:rFonts w:cs="Arial"/>
                <w:b/>
                <w:bCs/>
                <w:sz w:val="18"/>
                <w:szCs w:val="18"/>
                <w:lang w:eastAsia="en-GB"/>
              </w:rPr>
            </w:pPr>
            <w:r w:rsidRPr="009A61B0">
              <w:rPr>
                <w:rFonts w:cs="Arial"/>
                <w:b/>
                <w:bCs/>
                <w:sz w:val="18"/>
                <w:szCs w:val="18"/>
                <w:lang w:eastAsia="en-GB"/>
              </w:rPr>
              <w:t>Lacto-N-neotetraose</w:t>
            </w:r>
          </w:p>
        </w:tc>
        <w:tc>
          <w:tcPr>
            <w:tcW w:w="2693" w:type="dxa"/>
            <w:gridSpan w:val="2"/>
            <w:tcBorders>
              <w:top w:val="nil"/>
              <w:left w:val="nil"/>
              <w:bottom w:val="single" w:sz="4" w:space="0" w:color="auto"/>
              <w:right w:val="nil"/>
            </w:tcBorders>
            <w:hideMark/>
          </w:tcPr>
          <w:p w14:paraId="75174BF2" w14:textId="77777777" w:rsidR="00F73EA5" w:rsidRPr="009A61B0" w:rsidRDefault="00F73EA5" w:rsidP="00F73EA5">
            <w:pPr>
              <w:numPr>
                <w:ilvl w:val="0"/>
                <w:numId w:val="42"/>
              </w:numPr>
              <w:spacing w:before="60" w:after="60"/>
              <w:ind w:left="423" w:right="36" w:hanging="286"/>
              <w:contextualSpacing/>
              <w:rPr>
                <w:rFonts w:cs="Arial"/>
                <w:sz w:val="18"/>
                <w:szCs w:val="18"/>
                <w:lang w:eastAsia="en-GB"/>
              </w:rPr>
            </w:pPr>
            <w:r w:rsidRPr="009A61B0">
              <w:rPr>
                <w:rFonts w:cs="Arial"/>
                <w:i/>
                <w:sz w:val="18"/>
                <w:szCs w:val="18"/>
                <w:lang w:eastAsia="en-GB"/>
              </w:rPr>
              <w:t>Escherichia coli</w:t>
            </w:r>
            <w:r w:rsidRPr="009A61B0">
              <w:rPr>
                <w:rFonts w:cs="Arial"/>
                <w:sz w:val="18"/>
                <w:szCs w:val="18"/>
                <w:lang w:eastAsia="en-GB"/>
              </w:rPr>
              <w:t xml:space="preserve"> K-12 containing the gene for beta-1,3-N-acetylglucosaminyltransferase from </w:t>
            </w:r>
            <w:r w:rsidRPr="009A61B0">
              <w:rPr>
                <w:rFonts w:cs="Arial"/>
                <w:i/>
                <w:sz w:val="18"/>
                <w:szCs w:val="18"/>
                <w:lang w:eastAsia="en-GB"/>
              </w:rPr>
              <w:t>Neisseria meningitides</w:t>
            </w:r>
            <w:r w:rsidRPr="009A61B0">
              <w:rPr>
                <w:rFonts w:cs="Arial"/>
                <w:sz w:val="18"/>
                <w:szCs w:val="18"/>
                <w:lang w:eastAsia="en-GB"/>
              </w:rPr>
              <w:t xml:space="preserve"> and the gene for beta-1,4-galactosyltransferase from </w:t>
            </w:r>
            <w:r w:rsidRPr="009A61B0">
              <w:rPr>
                <w:rFonts w:cs="Arial"/>
                <w:i/>
                <w:sz w:val="18"/>
                <w:szCs w:val="18"/>
                <w:lang w:eastAsia="en-GB"/>
              </w:rPr>
              <w:t>Helicobacter pylori</w:t>
            </w:r>
          </w:p>
        </w:tc>
        <w:tc>
          <w:tcPr>
            <w:tcW w:w="709" w:type="dxa"/>
            <w:tcBorders>
              <w:top w:val="nil"/>
              <w:left w:val="nil"/>
              <w:bottom w:val="single" w:sz="4" w:space="0" w:color="auto"/>
              <w:right w:val="nil"/>
            </w:tcBorders>
            <w:tcMar>
              <w:top w:w="0" w:type="dxa"/>
              <w:left w:w="108" w:type="dxa"/>
              <w:bottom w:w="0" w:type="dxa"/>
              <w:right w:w="108" w:type="dxa"/>
            </w:tcMar>
          </w:tcPr>
          <w:p w14:paraId="19C97D80" w14:textId="77777777" w:rsidR="00F73EA5" w:rsidRPr="009A61B0" w:rsidRDefault="00F73EA5" w:rsidP="00623FDD">
            <w:pPr>
              <w:spacing w:before="60" w:after="60"/>
              <w:ind w:right="36"/>
              <w:rPr>
                <w:rFonts w:cs="Arial"/>
                <w:sz w:val="18"/>
                <w:szCs w:val="18"/>
                <w:lang w:eastAsia="en-GB"/>
              </w:rPr>
            </w:pPr>
          </w:p>
        </w:tc>
        <w:tc>
          <w:tcPr>
            <w:tcW w:w="3260" w:type="dxa"/>
            <w:tcBorders>
              <w:top w:val="nil"/>
              <w:left w:val="nil"/>
              <w:bottom w:val="single" w:sz="4" w:space="0" w:color="auto"/>
              <w:right w:val="nil"/>
            </w:tcBorders>
            <w:hideMark/>
          </w:tcPr>
          <w:p w14:paraId="61E05145" w14:textId="77777777" w:rsidR="00F73EA5" w:rsidRPr="009A61B0" w:rsidRDefault="00F73EA5" w:rsidP="00F73EA5">
            <w:pPr>
              <w:numPr>
                <w:ilvl w:val="0"/>
                <w:numId w:val="43"/>
              </w:numPr>
              <w:spacing w:before="60" w:after="60"/>
              <w:ind w:left="342" w:right="36" w:hanging="283"/>
              <w:contextualSpacing/>
              <w:rPr>
                <w:rFonts w:cs="Arial"/>
                <w:sz w:val="18"/>
                <w:szCs w:val="18"/>
                <w:lang w:eastAsia="en-GB"/>
              </w:rPr>
            </w:pPr>
            <w:r w:rsidRPr="009A61B0">
              <w:rPr>
                <w:rFonts w:cs="Arial"/>
                <w:sz w:val="18"/>
                <w:szCs w:val="18"/>
              </w:rPr>
              <w:t xml:space="preserve">May only be added to the following foods in combination with </w:t>
            </w:r>
            <w:r w:rsidRPr="009A61B0">
              <w:rPr>
                <w:rFonts w:cs="Arial"/>
                <w:bCs/>
                <w:sz w:val="18"/>
                <w:szCs w:val="18"/>
                <w:lang w:eastAsia="en-GB"/>
              </w:rPr>
              <w:t>2′-O-fucosyllactose that is permitted for use in</w:t>
            </w:r>
            <w:r w:rsidRPr="009A61B0">
              <w:rPr>
                <w:rFonts w:cs="Arial"/>
                <w:sz w:val="18"/>
                <w:szCs w:val="18"/>
              </w:rPr>
              <w:t xml:space="preserve"> infant formula products; and </w:t>
            </w:r>
            <w:r w:rsidRPr="009A61B0">
              <w:rPr>
                <w:sz w:val="18"/>
                <w:szCs w:val="18"/>
              </w:rPr>
              <w:t>formulated supplementary food for young children.</w:t>
            </w:r>
          </w:p>
          <w:p w14:paraId="759A9FA0" w14:textId="77777777" w:rsidR="00F73EA5" w:rsidRPr="009A61B0" w:rsidRDefault="00F73EA5" w:rsidP="00F73EA5">
            <w:pPr>
              <w:numPr>
                <w:ilvl w:val="0"/>
                <w:numId w:val="43"/>
              </w:numPr>
              <w:spacing w:before="60" w:after="60"/>
              <w:ind w:left="342" w:right="36" w:hanging="283"/>
              <w:contextualSpacing/>
              <w:rPr>
                <w:rFonts w:cs="Arial"/>
                <w:sz w:val="18"/>
                <w:szCs w:val="18"/>
                <w:lang w:eastAsia="en-GB"/>
              </w:rPr>
            </w:pPr>
            <w:r w:rsidRPr="009A61B0">
              <w:rPr>
                <w:rFonts w:cs="Arial"/>
                <w:sz w:val="18"/>
                <w:szCs w:val="18"/>
                <w:lang w:eastAsia="en-GB"/>
              </w:rPr>
              <w:t xml:space="preserve">During the </w:t>
            </w:r>
            <w:r w:rsidRPr="009A61B0">
              <w:rPr>
                <w:sz w:val="18"/>
                <w:szCs w:val="18"/>
              </w:rPr>
              <w:t xml:space="preserve">exclusive use period, may only be sold under </w:t>
            </w:r>
            <w:r w:rsidRPr="009A61B0">
              <w:rPr>
                <w:rFonts w:cs="Arial"/>
                <w:sz w:val="18"/>
                <w:szCs w:val="18"/>
              </w:rPr>
              <w:t>the brand GlyCare.</w:t>
            </w:r>
          </w:p>
          <w:p w14:paraId="47EABBFA" w14:textId="77777777" w:rsidR="00F73EA5" w:rsidRPr="009A61B0" w:rsidRDefault="00F73EA5" w:rsidP="00F73EA5">
            <w:pPr>
              <w:numPr>
                <w:ilvl w:val="0"/>
                <w:numId w:val="43"/>
              </w:numPr>
              <w:spacing w:before="60" w:after="60"/>
              <w:ind w:left="342" w:right="36" w:hanging="283"/>
              <w:contextualSpacing/>
              <w:rPr>
                <w:rFonts w:cs="Arial"/>
                <w:sz w:val="18"/>
                <w:szCs w:val="18"/>
                <w:lang w:eastAsia="en-GB"/>
              </w:rPr>
            </w:pPr>
            <w:r w:rsidRPr="009A61B0">
              <w:rPr>
                <w:sz w:val="18"/>
                <w:szCs w:val="18"/>
              </w:rPr>
              <w:t xml:space="preserve">For the purposes of condition 2 above, </w:t>
            </w:r>
            <w:r w:rsidRPr="009A61B0">
              <w:rPr>
                <w:b/>
                <w:sz w:val="18"/>
                <w:szCs w:val="18"/>
              </w:rPr>
              <w:t>exclusive use period</w:t>
            </w:r>
            <w:r w:rsidRPr="009A61B0">
              <w:rPr>
                <w:sz w:val="18"/>
                <w:szCs w:val="18"/>
              </w:rPr>
              <w:t xml:space="preserve"> means the period commencing on the date of gazettal of the </w:t>
            </w:r>
            <w:r w:rsidRPr="009A61B0">
              <w:rPr>
                <w:i/>
                <w:sz w:val="18"/>
                <w:szCs w:val="18"/>
              </w:rPr>
              <w:t>Food Standards (Application A1155 – 2</w:t>
            </w:r>
            <w:r w:rsidRPr="009A61B0">
              <w:rPr>
                <w:rFonts w:cs="Arial"/>
                <w:i/>
                <w:sz w:val="18"/>
                <w:szCs w:val="18"/>
              </w:rPr>
              <w:t>′</w:t>
            </w:r>
            <w:r w:rsidRPr="009A61B0">
              <w:rPr>
                <w:i/>
                <w:sz w:val="18"/>
                <w:szCs w:val="18"/>
              </w:rPr>
              <w:t>-FL and LNnT in infant formula and other products) Variation</w:t>
            </w:r>
            <w:r w:rsidRPr="009A61B0">
              <w:rPr>
                <w:sz w:val="18"/>
                <w:szCs w:val="18"/>
              </w:rPr>
              <w:t xml:space="preserve"> and ending 15 months after that date.</w:t>
            </w:r>
          </w:p>
        </w:tc>
      </w:tr>
      <w:tr w:rsidR="00F73EA5" w:rsidRPr="00D1467B" w14:paraId="05C14FA9" w14:textId="77777777" w:rsidTr="00BC1E81">
        <w:trPr>
          <w:cantSplit/>
          <w:trHeight w:val="243"/>
        </w:trPr>
        <w:tc>
          <w:tcPr>
            <w:tcW w:w="321" w:type="dxa"/>
            <w:gridSpan w:val="2"/>
            <w:tcMar>
              <w:top w:w="0" w:type="dxa"/>
              <w:left w:w="108" w:type="dxa"/>
              <w:bottom w:w="0" w:type="dxa"/>
              <w:right w:w="108" w:type="dxa"/>
            </w:tcMar>
            <w:hideMark/>
          </w:tcPr>
          <w:p w14:paraId="3FA5A5AB" w14:textId="77777777" w:rsidR="00F73EA5" w:rsidRPr="00D1467B" w:rsidRDefault="00F73EA5" w:rsidP="00623FDD">
            <w:pPr>
              <w:pStyle w:val="FSCtblMain"/>
              <w:rPr>
                <w:b/>
              </w:rPr>
            </w:pPr>
            <w:r w:rsidRPr="00D1467B">
              <w:rPr>
                <w:b/>
              </w:rPr>
              <w:t>3</w:t>
            </w:r>
          </w:p>
        </w:tc>
        <w:tc>
          <w:tcPr>
            <w:tcW w:w="1626" w:type="dxa"/>
            <w:tcMar>
              <w:top w:w="0" w:type="dxa"/>
              <w:left w:w="108" w:type="dxa"/>
              <w:bottom w:w="0" w:type="dxa"/>
              <w:right w:w="108" w:type="dxa"/>
            </w:tcMar>
            <w:hideMark/>
          </w:tcPr>
          <w:p w14:paraId="50D1547B" w14:textId="77777777" w:rsidR="00F73EA5" w:rsidRPr="00D1467B" w:rsidRDefault="00F73EA5" w:rsidP="00623FDD">
            <w:pPr>
              <w:pStyle w:val="FSCtblMain"/>
            </w:pPr>
            <w:r>
              <w:t>S</w:t>
            </w:r>
            <w:r w:rsidRPr="00D1467B">
              <w:t xml:space="preserve">oy leghemoglobin preparation </w:t>
            </w:r>
          </w:p>
        </w:tc>
        <w:tc>
          <w:tcPr>
            <w:tcW w:w="223" w:type="dxa"/>
          </w:tcPr>
          <w:p w14:paraId="09A2D7D7" w14:textId="77777777" w:rsidR="00F73EA5" w:rsidRPr="00D1467B" w:rsidRDefault="00F73EA5" w:rsidP="00623FDD">
            <w:pPr>
              <w:spacing w:before="60" w:after="60"/>
              <w:ind w:left="347" w:hanging="347"/>
              <w:rPr>
                <w:rFonts w:cs="Arial"/>
                <w:sz w:val="18"/>
                <w:szCs w:val="18"/>
                <w:lang w:eastAsia="en-GB"/>
              </w:rPr>
            </w:pPr>
          </w:p>
        </w:tc>
        <w:tc>
          <w:tcPr>
            <w:tcW w:w="3642" w:type="dxa"/>
            <w:gridSpan w:val="4"/>
            <w:tcMar>
              <w:top w:w="0" w:type="dxa"/>
              <w:left w:w="108" w:type="dxa"/>
              <w:bottom w:w="0" w:type="dxa"/>
              <w:right w:w="108" w:type="dxa"/>
            </w:tcMar>
            <w:hideMark/>
          </w:tcPr>
          <w:p w14:paraId="473F0ED3" w14:textId="77777777" w:rsidR="00F73EA5" w:rsidRPr="00D1467B" w:rsidRDefault="00F73EA5" w:rsidP="00623FDD">
            <w:pPr>
              <w:pStyle w:val="FSCtblMain"/>
              <w:rPr>
                <w:szCs w:val="18"/>
              </w:rPr>
            </w:pPr>
            <w:r w:rsidRPr="00D1467B">
              <w:rPr>
                <w:rFonts w:eastAsia="Calibri"/>
                <w:i/>
                <w:lang w:val="en-AU"/>
              </w:rPr>
              <w:t>Pichia Pastoris</w:t>
            </w:r>
            <w:r w:rsidRPr="00D1467B">
              <w:rPr>
                <w:rFonts w:eastAsia="Calibri"/>
                <w:lang w:val="en-AU"/>
              </w:rPr>
              <w:t xml:space="preserve"> containing the gene for leghemoglobin c2 from </w:t>
            </w:r>
            <w:r w:rsidRPr="00D1467B">
              <w:rPr>
                <w:rFonts w:eastAsia="Calibri"/>
                <w:i/>
                <w:lang w:val="en-AU"/>
              </w:rPr>
              <w:t>Glycine max</w:t>
            </w:r>
          </w:p>
        </w:tc>
        <w:tc>
          <w:tcPr>
            <w:tcW w:w="3260" w:type="dxa"/>
          </w:tcPr>
          <w:p w14:paraId="59288593" w14:textId="654AD9FF" w:rsidR="00F73EA5" w:rsidRPr="00D1467B" w:rsidRDefault="009343B0" w:rsidP="00473DAA">
            <w:pPr>
              <w:widowControl/>
              <w:tabs>
                <w:tab w:val="left" w:pos="279"/>
              </w:tabs>
              <w:spacing w:before="60" w:after="60"/>
              <w:ind w:left="279" w:right="34" w:hanging="279"/>
              <w:contextualSpacing/>
              <w:rPr>
                <w:rFonts w:eastAsia="Calibri" w:cs="Arial"/>
                <w:sz w:val="18"/>
                <w:szCs w:val="18"/>
                <w:lang w:eastAsia="en-GB"/>
              </w:rPr>
            </w:pPr>
            <w:r>
              <w:rPr>
                <w:rFonts w:eastAsia="Calibri" w:cs="Arial"/>
                <w:sz w:val="18"/>
                <w:szCs w:val="18"/>
              </w:rPr>
              <w:t xml:space="preserve">1.   </w:t>
            </w:r>
            <w:r w:rsidR="00F73EA5" w:rsidRPr="00D1467B">
              <w:rPr>
                <w:rFonts w:eastAsia="Calibri" w:cs="Arial"/>
                <w:sz w:val="18"/>
                <w:szCs w:val="18"/>
              </w:rPr>
              <w:t xml:space="preserve">May only be added to </w:t>
            </w:r>
            <w:r w:rsidR="00F73EA5" w:rsidRPr="00D1467B">
              <w:rPr>
                <w:sz w:val="18"/>
                <w:szCs w:val="18"/>
              </w:rPr>
              <w:t xml:space="preserve">a meat analogue product to enable the use in that product of soy leghemoglobin </w:t>
            </w:r>
            <w:r w:rsidR="00F73EA5" w:rsidRPr="00D1467B">
              <w:rPr>
                <w:rFonts w:eastAsia="Calibri" w:cs="Arial"/>
                <w:sz w:val="18"/>
                <w:szCs w:val="18"/>
              </w:rPr>
              <w:t>as a nutritive substance in accordance with Standard 1.3.2.</w:t>
            </w:r>
          </w:p>
          <w:p w14:paraId="14AB2BF0" w14:textId="5F00EFD8" w:rsidR="00F73EA5" w:rsidRPr="00D1467B" w:rsidRDefault="009343B0" w:rsidP="00473DAA">
            <w:pPr>
              <w:widowControl/>
              <w:tabs>
                <w:tab w:val="left" w:pos="279"/>
              </w:tabs>
              <w:spacing w:before="60" w:after="60"/>
              <w:ind w:left="279" w:right="36" w:hanging="279"/>
              <w:contextualSpacing/>
              <w:rPr>
                <w:rFonts w:eastAsia="Calibri" w:cs="Arial"/>
                <w:sz w:val="18"/>
                <w:szCs w:val="18"/>
                <w:lang w:eastAsia="en-GB"/>
              </w:rPr>
            </w:pPr>
            <w:r>
              <w:rPr>
                <w:rFonts w:eastAsia="Calibri" w:cs="Arial"/>
                <w:sz w:val="18"/>
                <w:szCs w:val="18"/>
              </w:rPr>
              <w:t xml:space="preserve">2.   </w:t>
            </w:r>
            <w:r w:rsidR="00F73EA5" w:rsidRPr="00B52820">
              <w:rPr>
                <w:rFonts w:eastAsia="Calibri" w:cs="Arial"/>
                <w:sz w:val="18"/>
                <w:szCs w:val="18"/>
              </w:rPr>
              <w:t xml:space="preserve">Must comply with the specifications set out in section </w:t>
            </w:r>
            <w:r w:rsidR="00F73EA5" w:rsidRPr="00B52820">
              <w:rPr>
                <w:sz w:val="18"/>
                <w:szCs w:val="18"/>
              </w:rPr>
              <w:t>S3—42.</w:t>
            </w:r>
          </w:p>
        </w:tc>
      </w:tr>
      <w:tr w:rsidR="009343B0" w:rsidRPr="00D1467B" w14:paraId="6362E987" w14:textId="77777777" w:rsidTr="00BC1E81">
        <w:trPr>
          <w:cantSplit/>
          <w:trHeight w:val="243"/>
        </w:trPr>
        <w:tc>
          <w:tcPr>
            <w:tcW w:w="321" w:type="dxa"/>
            <w:gridSpan w:val="2"/>
            <w:tcMar>
              <w:top w:w="0" w:type="dxa"/>
              <w:left w:w="108" w:type="dxa"/>
              <w:bottom w:w="0" w:type="dxa"/>
              <w:right w:w="108" w:type="dxa"/>
            </w:tcMar>
          </w:tcPr>
          <w:p w14:paraId="4539F627" w14:textId="77777777" w:rsidR="009343B0" w:rsidRPr="00D1467B" w:rsidRDefault="009343B0" w:rsidP="00623FDD">
            <w:pPr>
              <w:pStyle w:val="FSCtblMain"/>
              <w:rPr>
                <w:b/>
              </w:rPr>
            </w:pPr>
          </w:p>
        </w:tc>
        <w:tc>
          <w:tcPr>
            <w:tcW w:w="1626" w:type="dxa"/>
            <w:tcMar>
              <w:top w:w="0" w:type="dxa"/>
              <w:left w:w="108" w:type="dxa"/>
              <w:bottom w:w="0" w:type="dxa"/>
              <w:right w:w="108" w:type="dxa"/>
            </w:tcMar>
          </w:tcPr>
          <w:p w14:paraId="5BA51553" w14:textId="77777777" w:rsidR="009343B0" w:rsidRDefault="009343B0" w:rsidP="00623FDD">
            <w:pPr>
              <w:pStyle w:val="FSCtblMain"/>
            </w:pPr>
          </w:p>
        </w:tc>
        <w:tc>
          <w:tcPr>
            <w:tcW w:w="223" w:type="dxa"/>
          </w:tcPr>
          <w:p w14:paraId="67300537" w14:textId="77777777" w:rsidR="009343B0" w:rsidRPr="00D1467B" w:rsidRDefault="009343B0" w:rsidP="00623FDD">
            <w:pPr>
              <w:spacing w:before="60" w:after="60"/>
              <w:ind w:left="347" w:hanging="347"/>
              <w:rPr>
                <w:rFonts w:cs="Arial"/>
                <w:sz w:val="18"/>
                <w:szCs w:val="18"/>
                <w:lang w:eastAsia="en-GB"/>
              </w:rPr>
            </w:pPr>
          </w:p>
        </w:tc>
        <w:tc>
          <w:tcPr>
            <w:tcW w:w="3642" w:type="dxa"/>
            <w:gridSpan w:val="4"/>
            <w:tcMar>
              <w:top w:w="0" w:type="dxa"/>
              <w:left w:w="108" w:type="dxa"/>
              <w:bottom w:w="0" w:type="dxa"/>
              <w:right w:w="108" w:type="dxa"/>
            </w:tcMar>
          </w:tcPr>
          <w:p w14:paraId="3844F6AF" w14:textId="77777777" w:rsidR="009343B0" w:rsidRPr="00D1467B" w:rsidRDefault="009343B0" w:rsidP="00623FDD">
            <w:pPr>
              <w:pStyle w:val="FSCtblMain"/>
              <w:rPr>
                <w:rFonts w:eastAsia="Calibri"/>
                <w:i/>
                <w:lang w:val="en-AU"/>
              </w:rPr>
            </w:pPr>
          </w:p>
        </w:tc>
        <w:tc>
          <w:tcPr>
            <w:tcW w:w="3260" w:type="dxa"/>
          </w:tcPr>
          <w:p w14:paraId="48B85A09" w14:textId="77777777" w:rsidR="009343B0" w:rsidRDefault="009343B0" w:rsidP="009343B0">
            <w:pPr>
              <w:widowControl/>
              <w:tabs>
                <w:tab w:val="left" w:pos="0"/>
              </w:tabs>
              <w:spacing w:before="60" w:after="60"/>
              <w:ind w:right="34"/>
              <w:contextualSpacing/>
              <w:rPr>
                <w:rFonts w:eastAsia="Calibri" w:cs="Arial"/>
                <w:sz w:val="18"/>
                <w:szCs w:val="18"/>
              </w:rPr>
            </w:pPr>
          </w:p>
        </w:tc>
      </w:tr>
    </w:tbl>
    <w:p w14:paraId="17989710" w14:textId="2C198FA7" w:rsidR="007658FC" w:rsidRDefault="007658FC">
      <w:pPr>
        <w:widowControl/>
        <w:rPr>
          <w:rFonts w:cs="Arial"/>
          <w:iCs/>
          <w:sz w:val="20"/>
          <w:szCs w:val="22"/>
          <w:lang w:eastAsia="en-AU" w:bidi="ar-SA"/>
        </w:rPr>
      </w:pPr>
      <w:r>
        <w:br w:type="page"/>
      </w:r>
    </w:p>
    <w:p w14:paraId="37FA2ABE" w14:textId="2781E77E" w:rsidR="000F22E9" w:rsidRDefault="00AB2BE0" w:rsidP="00AB2BE0">
      <w:pPr>
        <w:pStyle w:val="FSCh2Part"/>
      </w:pPr>
      <w:bookmarkStart w:id="258" w:name="_Toc41576688"/>
      <w:bookmarkStart w:id="259" w:name="_Toc42875251"/>
      <w:bookmarkStart w:id="260" w:name="_Toc43126904"/>
      <w:bookmarkStart w:id="261" w:name="_Toc43128155"/>
      <w:r>
        <w:lastRenderedPageBreak/>
        <w:t>Attachment</w:t>
      </w:r>
      <w:r w:rsidR="000F22E9" w:rsidRPr="00932F14">
        <w:t xml:space="preserve"> </w:t>
      </w:r>
      <w:r w:rsidR="007658FC">
        <w:t xml:space="preserve">D </w:t>
      </w:r>
      <w:r w:rsidR="000F22E9">
        <w:t xml:space="preserve">– </w:t>
      </w:r>
      <w:r w:rsidR="00275289">
        <w:t>S</w:t>
      </w:r>
      <w:r w:rsidR="000F22E9">
        <w:t>ubmitters at 1</w:t>
      </w:r>
      <w:r w:rsidR="000F22E9" w:rsidRPr="000F22E9">
        <w:rPr>
          <w:vertAlign w:val="superscript"/>
        </w:rPr>
        <w:t>st</w:t>
      </w:r>
      <w:r w:rsidR="000F22E9">
        <w:t xml:space="preserve"> CFS</w:t>
      </w:r>
      <w:bookmarkEnd w:id="258"/>
      <w:bookmarkEnd w:id="259"/>
      <w:bookmarkEnd w:id="260"/>
      <w:bookmarkEnd w:id="261"/>
    </w:p>
    <w:p w14:paraId="2BB53105" w14:textId="565255BD" w:rsidR="000F22E9" w:rsidRDefault="00551463" w:rsidP="000F22E9">
      <w:pPr>
        <w:pStyle w:val="Heading4"/>
      </w:pPr>
      <w:r>
        <w:t>G</w:t>
      </w:r>
      <w:r w:rsidR="000F22E9">
        <w:t>overnment (5)</w:t>
      </w:r>
    </w:p>
    <w:p w14:paraId="58D611D3" w14:textId="75EF1737" w:rsidR="000F22E9" w:rsidRDefault="00551463" w:rsidP="009B3571">
      <w:pPr>
        <w:pStyle w:val="ListParagraph"/>
        <w:numPr>
          <w:ilvl w:val="0"/>
          <w:numId w:val="15"/>
        </w:numPr>
        <w:rPr>
          <w:lang w:bidi="ar-SA"/>
        </w:rPr>
      </w:pPr>
      <w:r>
        <w:rPr>
          <w:lang w:bidi="ar-SA"/>
        </w:rPr>
        <w:t>Department of Health and Human Services, Victoria</w:t>
      </w:r>
    </w:p>
    <w:p w14:paraId="12779F25" w14:textId="4832439C" w:rsidR="00551463" w:rsidRDefault="00551463" w:rsidP="009B3571">
      <w:pPr>
        <w:pStyle w:val="ListParagraph"/>
        <w:numPr>
          <w:ilvl w:val="0"/>
          <w:numId w:val="15"/>
        </w:numPr>
        <w:rPr>
          <w:lang w:bidi="ar-SA"/>
        </w:rPr>
      </w:pPr>
      <w:r>
        <w:rPr>
          <w:lang w:bidi="ar-SA"/>
        </w:rPr>
        <w:t>New South Wales Food Authority</w:t>
      </w:r>
    </w:p>
    <w:p w14:paraId="3599AFE3" w14:textId="77777777" w:rsidR="00DC238B" w:rsidRDefault="00551463" w:rsidP="006E5FD1">
      <w:pPr>
        <w:pStyle w:val="ListParagraph"/>
        <w:numPr>
          <w:ilvl w:val="0"/>
          <w:numId w:val="15"/>
        </w:numPr>
        <w:rPr>
          <w:lang w:bidi="ar-SA"/>
        </w:rPr>
      </w:pPr>
      <w:r>
        <w:rPr>
          <w:lang w:bidi="ar-SA"/>
        </w:rPr>
        <w:t xml:space="preserve">New Zealand Ministry </w:t>
      </w:r>
      <w:r w:rsidR="006E5FD1">
        <w:rPr>
          <w:lang w:bidi="ar-SA"/>
        </w:rPr>
        <w:t xml:space="preserve">for </w:t>
      </w:r>
      <w:r>
        <w:rPr>
          <w:lang w:bidi="ar-SA"/>
        </w:rPr>
        <w:t xml:space="preserve">Primary </w:t>
      </w:r>
      <w:r w:rsidR="006E5FD1">
        <w:rPr>
          <w:lang w:bidi="ar-SA"/>
        </w:rPr>
        <w:t>Industries</w:t>
      </w:r>
    </w:p>
    <w:p w14:paraId="2388B6A3" w14:textId="0EC4F939" w:rsidR="00551463" w:rsidRDefault="00551463" w:rsidP="006E5FD1">
      <w:pPr>
        <w:pStyle w:val="ListParagraph"/>
        <w:numPr>
          <w:ilvl w:val="0"/>
          <w:numId w:val="15"/>
        </w:numPr>
        <w:rPr>
          <w:lang w:bidi="ar-SA"/>
        </w:rPr>
      </w:pPr>
      <w:r>
        <w:rPr>
          <w:lang w:bidi="ar-SA"/>
        </w:rPr>
        <w:t>Queensland Health</w:t>
      </w:r>
    </w:p>
    <w:p w14:paraId="27303B8C" w14:textId="578DA1A3" w:rsidR="00551463" w:rsidRPr="000F22E9" w:rsidRDefault="00551463" w:rsidP="009B3571">
      <w:pPr>
        <w:pStyle w:val="ListParagraph"/>
        <w:numPr>
          <w:ilvl w:val="0"/>
          <w:numId w:val="15"/>
        </w:numPr>
        <w:rPr>
          <w:lang w:bidi="ar-SA"/>
        </w:rPr>
      </w:pPr>
      <w:r>
        <w:rPr>
          <w:lang w:bidi="ar-SA"/>
        </w:rPr>
        <w:t>South Australia Health</w:t>
      </w:r>
    </w:p>
    <w:p w14:paraId="6126641B" w14:textId="26F2085A" w:rsidR="000F22E9" w:rsidRDefault="000F22E9" w:rsidP="000F22E9">
      <w:pPr>
        <w:pStyle w:val="Heading4"/>
      </w:pPr>
      <w:r>
        <w:t>Industry (6)</w:t>
      </w:r>
    </w:p>
    <w:p w14:paraId="2E373BB0" w14:textId="2711C01B" w:rsidR="00551463" w:rsidRDefault="00551463" w:rsidP="009B3571">
      <w:pPr>
        <w:pStyle w:val="ListParagraph"/>
        <w:numPr>
          <w:ilvl w:val="0"/>
          <w:numId w:val="16"/>
        </w:numPr>
        <w:rPr>
          <w:lang w:bidi="ar-SA"/>
        </w:rPr>
      </w:pPr>
      <w:r>
        <w:rPr>
          <w:lang w:bidi="ar-SA"/>
        </w:rPr>
        <w:t>Australian Food and Grocery Council</w:t>
      </w:r>
    </w:p>
    <w:p w14:paraId="55C73113" w14:textId="44CB0FBA" w:rsidR="00551463" w:rsidRDefault="00551463" w:rsidP="009B3571">
      <w:pPr>
        <w:pStyle w:val="ListParagraph"/>
        <w:numPr>
          <w:ilvl w:val="0"/>
          <w:numId w:val="16"/>
        </w:numPr>
        <w:rPr>
          <w:lang w:bidi="ar-SA"/>
        </w:rPr>
      </w:pPr>
      <w:r>
        <w:rPr>
          <w:lang w:bidi="ar-SA"/>
        </w:rPr>
        <w:t>Beak and Johnston AU/NZ</w:t>
      </w:r>
    </w:p>
    <w:p w14:paraId="53AE9295" w14:textId="2C7723D7" w:rsidR="00551463" w:rsidRDefault="00551463" w:rsidP="009B3571">
      <w:pPr>
        <w:pStyle w:val="ListParagraph"/>
        <w:numPr>
          <w:ilvl w:val="0"/>
          <w:numId w:val="16"/>
        </w:numPr>
        <w:rPr>
          <w:lang w:bidi="ar-SA"/>
        </w:rPr>
      </w:pPr>
      <w:r>
        <w:rPr>
          <w:lang w:bidi="ar-SA"/>
        </w:rPr>
        <w:t>Funlab</w:t>
      </w:r>
    </w:p>
    <w:p w14:paraId="71A6AF77" w14:textId="2EB2BB53" w:rsidR="00551463" w:rsidRDefault="00551463" w:rsidP="009B3571">
      <w:pPr>
        <w:pStyle w:val="ListParagraph"/>
        <w:numPr>
          <w:ilvl w:val="0"/>
          <w:numId w:val="16"/>
        </w:numPr>
        <w:rPr>
          <w:lang w:bidi="ar-SA"/>
        </w:rPr>
      </w:pPr>
      <w:r>
        <w:rPr>
          <w:lang w:bidi="ar-SA"/>
        </w:rPr>
        <w:t>Grilled</w:t>
      </w:r>
    </w:p>
    <w:p w14:paraId="19C92091" w14:textId="1C0412AE" w:rsidR="00551463" w:rsidRDefault="00551463" w:rsidP="009B3571">
      <w:pPr>
        <w:pStyle w:val="ListParagraph"/>
        <w:numPr>
          <w:ilvl w:val="0"/>
          <w:numId w:val="16"/>
        </w:numPr>
        <w:rPr>
          <w:lang w:bidi="ar-SA"/>
        </w:rPr>
      </w:pPr>
      <w:r>
        <w:rPr>
          <w:lang w:bidi="ar-SA"/>
        </w:rPr>
        <w:t>New Zealand Food and Grocery Council</w:t>
      </w:r>
    </w:p>
    <w:p w14:paraId="54E8BE8B" w14:textId="589C013A" w:rsidR="00551463" w:rsidRDefault="00551463" w:rsidP="009B3571">
      <w:pPr>
        <w:pStyle w:val="ListParagraph"/>
        <w:numPr>
          <w:ilvl w:val="0"/>
          <w:numId w:val="16"/>
        </w:numPr>
        <w:rPr>
          <w:lang w:bidi="ar-SA"/>
        </w:rPr>
      </w:pPr>
      <w:r>
        <w:rPr>
          <w:lang w:bidi="ar-SA"/>
        </w:rPr>
        <w:t>Woolworths AU</w:t>
      </w:r>
    </w:p>
    <w:p w14:paraId="18DB511A" w14:textId="31576E56" w:rsidR="000F22E9" w:rsidRDefault="000F22E9" w:rsidP="000F22E9">
      <w:pPr>
        <w:pStyle w:val="Heading4"/>
      </w:pPr>
      <w:r>
        <w:t>Not for profit organisations (4)</w:t>
      </w:r>
    </w:p>
    <w:p w14:paraId="0230A8AC" w14:textId="3AA82ED3" w:rsidR="00551463" w:rsidRDefault="00551463" w:rsidP="009B3571">
      <w:pPr>
        <w:pStyle w:val="ListParagraph"/>
        <w:numPr>
          <w:ilvl w:val="0"/>
          <w:numId w:val="17"/>
        </w:numPr>
        <w:rPr>
          <w:lang w:bidi="ar-SA"/>
        </w:rPr>
      </w:pPr>
      <w:r>
        <w:rPr>
          <w:lang w:bidi="ar-SA"/>
        </w:rPr>
        <w:t>Allergy and Anaphylaxis Australia</w:t>
      </w:r>
    </w:p>
    <w:p w14:paraId="6119263F" w14:textId="2F04E568" w:rsidR="00551463" w:rsidRDefault="00551463" w:rsidP="009B3571">
      <w:pPr>
        <w:pStyle w:val="ListParagraph"/>
        <w:numPr>
          <w:ilvl w:val="0"/>
          <w:numId w:val="17"/>
        </w:numPr>
        <w:rPr>
          <w:lang w:bidi="ar-SA"/>
        </w:rPr>
      </w:pPr>
      <w:r>
        <w:rPr>
          <w:lang w:bidi="ar-SA"/>
        </w:rPr>
        <w:t>Food Frontier AU</w:t>
      </w:r>
    </w:p>
    <w:p w14:paraId="5A367F1D" w14:textId="3C494B2B" w:rsidR="00551463" w:rsidRDefault="00551463" w:rsidP="009B3571">
      <w:pPr>
        <w:pStyle w:val="ListParagraph"/>
        <w:numPr>
          <w:ilvl w:val="0"/>
          <w:numId w:val="17"/>
        </w:numPr>
        <w:rPr>
          <w:lang w:bidi="ar-SA"/>
        </w:rPr>
      </w:pPr>
      <w:r>
        <w:rPr>
          <w:lang w:bidi="ar-SA"/>
        </w:rPr>
        <w:t>National Allergy Strategy AU</w:t>
      </w:r>
    </w:p>
    <w:p w14:paraId="62D572B5" w14:textId="6408A488" w:rsidR="00551463" w:rsidRPr="00551463" w:rsidRDefault="00551463" w:rsidP="009B3571">
      <w:pPr>
        <w:pStyle w:val="ListParagraph"/>
        <w:numPr>
          <w:ilvl w:val="0"/>
          <w:numId w:val="17"/>
        </w:numPr>
        <w:rPr>
          <w:lang w:bidi="ar-SA"/>
        </w:rPr>
      </w:pPr>
      <w:r>
        <w:rPr>
          <w:lang w:bidi="ar-SA"/>
        </w:rPr>
        <w:t>The Good Food Institute NZ</w:t>
      </w:r>
    </w:p>
    <w:p w14:paraId="30C31E80" w14:textId="08A7C1D5" w:rsidR="000F22E9" w:rsidRDefault="000F22E9" w:rsidP="000F22E9">
      <w:pPr>
        <w:pStyle w:val="Heading4"/>
      </w:pPr>
      <w:r>
        <w:t>Primary production organisations (3)</w:t>
      </w:r>
    </w:p>
    <w:p w14:paraId="26C3C3E0" w14:textId="61C8EE73" w:rsidR="00551463" w:rsidRDefault="00551463" w:rsidP="009B3571">
      <w:pPr>
        <w:pStyle w:val="ListParagraph"/>
        <w:numPr>
          <w:ilvl w:val="0"/>
          <w:numId w:val="18"/>
        </w:numPr>
        <w:rPr>
          <w:lang w:bidi="ar-SA"/>
        </w:rPr>
      </w:pPr>
      <w:r>
        <w:rPr>
          <w:lang w:bidi="ar-SA"/>
        </w:rPr>
        <w:t>Australian Food Sovereignty Alliance</w:t>
      </w:r>
    </w:p>
    <w:p w14:paraId="74709953" w14:textId="6918B8FE" w:rsidR="00551463" w:rsidRDefault="00551463" w:rsidP="009B3571">
      <w:pPr>
        <w:pStyle w:val="ListParagraph"/>
        <w:numPr>
          <w:ilvl w:val="0"/>
          <w:numId w:val="18"/>
        </w:numPr>
        <w:rPr>
          <w:lang w:bidi="ar-SA"/>
        </w:rPr>
      </w:pPr>
      <w:r>
        <w:rPr>
          <w:lang w:bidi="ar-SA"/>
        </w:rPr>
        <w:t xml:space="preserve">Beef </w:t>
      </w:r>
      <w:r w:rsidR="006E5FD1">
        <w:rPr>
          <w:lang w:bidi="ar-SA"/>
        </w:rPr>
        <w:t xml:space="preserve">+ </w:t>
      </w:r>
      <w:r>
        <w:rPr>
          <w:lang w:bidi="ar-SA"/>
        </w:rPr>
        <w:t>Lamb N</w:t>
      </w:r>
      <w:r w:rsidR="006E5FD1">
        <w:rPr>
          <w:lang w:bidi="ar-SA"/>
        </w:rPr>
        <w:t>ew Zealand Inc</w:t>
      </w:r>
      <w:r w:rsidR="00DC238B">
        <w:rPr>
          <w:lang w:bidi="ar-SA"/>
        </w:rPr>
        <w:t>.</w:t>
      </w:r>
    </w:p>
    <w:p w14:paraId="1E9FFFE3" w14:textId="50F292D6" w:rsidR="00551463" w:rsidRPr="00551463" w:rsidRDefault="00551463" w:rsidP="009B3571">
      <w:pPr>
        <w:pStyle w:val="ListParagraph"/>
        <w:numPr>
          <w:ilvl w:val="0"/>
          <w:numId w:val="18"/>
        </w:numPr>
        <w:rPr>
          <w:lang w:bidi="ar-SA"/>
        </w:rPr>
      </w:pPr>
      <w:r>
        <w:rPr>
          <w:lang w:bidi="ar-SA"/>
        </w:rPr>
        <w:t>Meat and Livestock Association NZ</w:t>
      </w:r>
    </w:p>
    <w:p w14:paraId="4875D5FD" w14:textId="7FA4AF2A" w:rsidR="000F22E9" w:rsidRDefault="000F22E9" w:rsidP="000F22E9">
      <w:pPr>
        <w:pStyle w:val="Heading4"/>
      </w:pPr>
      <w:r>
        <w:t>Consumer organisations (</w:t>
      </w:r>
      <w:r w:rsidR="00135D9F">
        <w:t>10</w:t>
      </w:r>
      <w:r>
        <w:t>)</w:t>
      </w:r>
    </w:p>
    <w:p w14:paraId="04C870BC" w14:textId="31A113C9" w:rsidR="00135D9F" w:rsidRDefault="00135D9F" w:rsidP="009B3571">
      <w:pPr>
        <w:pStyle w:val="ListParagraph"/>
        <w:numPr>
          <w:ilvl w:val="0"/>
          <w:numId w:val="15"/>
        </w:numPr>
        <w:rPr>
          <w:lang w:bidi="ar-SA"/>
        </w:rPr>
      </w:pPr>
      <w:r>
        <w:rPr>
          <w:lang w:bidi="ar-SA"/>
        </w:rPr>
        <w:t>Carbon Neutral Trust NZ</w:t>
      </w:r>
    </w:p>
    <w:p w14:paraId="724D5681" w14:textId="6B5DB3D2" w:rsidR="000F22E9" w:rsidRDefault="000F22E9" w:rsidP="009B3571">
      <w:pPr>
        <w:pStyle w:val="ListParagraph"/>
        <w:numPr>
          <w:ilvl w:val="0"/>
          <w:numId w:val="15"/>
        </w:numPr>
        <w:rPr>
          <w:lang w:bidi="ar-SA"/>
        </w:rPr>
      </w:pPr>
      <w:r>
        <w:rPr>
          <w:lang w:bidi="ar-SA"/>
        </w:rPr>
        <w:t>Fart Free NZ</w:t>
      </w:r>
    </w:p>
    <w:p w14:paraId="41D856AC" w14:textId="65060F30" w:rsidR="000F22E9" w:rsidRDefault="00551463" w:rsidP="009B3571">
      <w:pPr>
        <w:pStyle w:val="ListParagraph"/>
        <w:numPr>
          <w:ilvl w:val="0"/>
          <w:numId w:val="15"/>
        </w:numPr>
        <w:rPr>
          <w:lang w:bidi="ar-SA"/>
        </w:rPr>
      </w:pPr>
      <w:r>
        <w:rPr>
          <w:lang w:bidi="ar-SA"/>
        </w:rPr>
        <w:t>Friends of the Earth AU</w:t>
      </w:r>
    </w:p>
    <w:p w14:paraId="34819E92" w14:textId="0741662F" w:rsidR="00551463" w:rsidRDefault="00551463" w:rsidP="009B3571">
      <w:pPr>
        <w:pStyle w:val="ListParagraph"/>
        <w:numPr>
          <w:ilvl w:val="0"/>
          <w:numId w:val="15"/>
        </w:numPr>
        <w:rPr>
          <w:lang w:bidi="ar-SA"/>
        </w:rPr>
      </w:pPr>
      <w:r>
        <w:rPr>
          <w:lang w:bidi="ar-SA"/>
        </w:rPr>
        <w:t>Friends of the Earth NZ</w:t>
      </w:r>
    </w:p>
    <w:p w14:paraId="72F9BB77" w14:textId="0A78B9ED" w:rsidR="00551463" w:rsidRDefault="00551463" w:rsidP="009B3571">
      <w:pPr>
        <w:pStyle w:val="ListParagraph"/>
        <w:numPr>
          <w:ilvl w:val="0"/>
          <w:numId w:val="15"/>
        </w:numPr>
        <w:rPr>
          <w:lang w:bidi="ar-SA"/>
        </w:rPr>
      </w:pPr>
      <w:r>
        <w:rPr>
          <w:lang w:bidi="ar-SA"/>
        </w:rPr>
        <w:t>GE Free NZ</w:t>
      </w:r>
    </w:p>
    <w:p w14:paraId="54816B39" w14:textId="73339A9E" w:rsidR="00135D9F" w:rsidRDefault="00135D9F" w:rsidP="009B3571">
      <w:pPr>
        <w:pStyle w:val="ListParagraph"/>
        <w:numPr>
          <w:ilvl w:val="0"/>
          <w:numId w:val="15"/>
        </w:numPr>
        <w:rPr>
          <w:lang w:bidi="ar-SA"/>
        </w:rPr>
      </w:pPr>
      <w:r>
        <w:rPr>
          <w:lang w:bidi="ar-SA"/>
        </w:rPr>
        <w:t>GE Free Northland NZ</w:t>
      </w:r>
    </w:p>
    <w:p w14:paraId="3816C0ED" w14:textId="3935EBA3" w:rsidR="00551463" w:rsidRDefault="00551463" w:rsidP="009B3571">
      <w:pPr>
        <w:pStyle w:val="ListParagraph"/>
        <w:numPr>
          <w:ilvl w:val="0"/>
          <w:numId w:val="15"/>
        </w:numPr>
        <w:rPr>
          <w:lang w:bidi="ar-SA"/>
        </w:rPr>
      </w:pPr>
      <w:r>
        <w:rPr>
          <w:lang w:bidi="ar-SA"/>
        </w:rPr>
        <w:t>Grey Power Combined NZ</w:t>
      </w:r>
    </w:p>
    <w:p w14:paraId="1DF82BF5" w14:textId="09858CD3" w:rsidR="00551463" w:rsidRDefault="00551463" w:rsidP="009B3571">
      <w:pPr>
        <w:pStyle w:val="ListParagraph"/>
        <w:numPr>
          <w:ilvl w:val="0"/>
          <w:numId w:val="15"/>
        </w:numPr>
        <w:rPr>
          <w:lang w:bidi="ar-SA"/>
        </w:rPr>
      </w:pPr>
      <w:r>
        <w:rPr>
          <w:lang w:bidi="ar-SA"/>
        </w:rPr>
        <w:t>Life Sciences Network Inc. NZ</w:t>
      </w:r>
    </w:p>
    <w:p w14:paraId="4608DF85" w14:textId="068BAE5F" w:rsidR="00551463" w:rsidRPr="00551463" w:rsidRDefault="00551463" w:rsidP="009B3571">
      <w:pPr>
        <w:pStyle w:val="ListParagraph"/>
        <w:numPr>
          <w:ilvl w:val="0"/>
          <w:numId w:val="15"/>
        </w:numPr>
        <w:rPr>
          <w:sz w:val="24"/>
          <w:lang w:bidi="ar-SA"/>
        </w:rPr>
      </w:pPr>
      <w:r w:rsidRPr="00551463">
        <w:rPr>
          <w:szCs w:val="22"/>
        </w:rPr>
        <w:t>Physicians and Scientists for Global Responsibility NZ</w:t>
      </w:r>
    </w:p>
    <w:p w14:paraId="37AD2DC8" w14:textId="55F7C35A" w:rsidR="00551463" w:rsidRPr="00551463" w:rsidRDefault="00551463" w:rsidP="009B3571">
      <w:pPr>
        <w:pStyle w:val="ListParagraph"/>
        <w:numPr>
          <w:ilvl w:val="0"/>
          <w:numId w:val="15"/>
        </w:numPr>
        <w:rPr>
          <w:sz w:val="24"/>
          <w:lang w:bidi="ar-SA"/>
        </w:rPr>
      </w:pPr>
      <w:r>
        <w:rPr>
          <w:szCs w:val="22"/>
        </w:rPr>
        <w:t>Soil and Health Association NZ</w:t>
      </w:r>
    </w:p>
    <w:p w14:paraId="6B9F1B4E" w14:textId="10456472" w:rsidR="000F22E9" w:rsidRDefault="000F22E9" w:rsidP="000F22E9">
      <w:pPr>
        <w:pStyle w:val="Heading4"/>
      </w:pPr>
      <w:r>
        <w:t>Individual submitters (1</w:t>
      </w:r>
      <w:r w:rsidR="00135D9F">
        <w:t>6</w:t>
      </w:r>
      <w:r>
        <w:t>)</w:t>
      </w:r>
    </w:p>
    <w:p w14:paraId="512B26A1" w14:textId="658F3911" w:rsidR="00135D9F" w:rsidRPr="00135D9F" w:rsidRDefault="00135D9F" w:rsidP="00025785">
      <w:pPr>
        <w:spacing w:after="240"/>
        <w:rPr>
          <w:u w:val="single"/>
          <w:lang w:bidi="ar-SA"/>
        </w:rPr>
      </w:pPr>
      <w:r w:rsidRPr="00135D9F">
        <w:rPr>
          <w:u w:val="single"/>
          <w:lang w:bidi="ar-SA"/>
        </w:rPr>
        <w:t>New Zealand</w:t>
      </w:r>
    </w:p>
    <w:p w14:paraId="4FF10855" w14:textId="4012FDB2" w:rsidR="00025785" w:rsidRDefault="00025785" w:rsidP="009B3571">
      <w:pPr>
        <w:pStyle w:val="ListParagraph"/>
        <w:numPr>
          <w:ilvl w:val="0"/>
          <w:numId w:val="20"/>
        </w:numPr>
      </w:pPr>
      <w:r>
        <w:t>Boland, M</w:t>
      </w:r>
    </w:p>
    <w:p w14:paraId="20A44BBA" w14:textId="336BF70A" w:rsidR="00135D9F" w:rsidRPr="00135D9F" w:rsidRDefault="00135D9F" w:rsidP="009B3571">
      <w:pPr>
        <w:pStyle w:val="ListParagraph"/>
        <w:numPr>
          <w:ilvl w:val="0"/>
          <w:numId w:val="20"/>
        </w:numPr>
      </w:pPr>
      <w:r>
        <w:t>Bremer, I</w:t>
      </w:r>
    </w:p>
    <w:p w14:paraId="3986CC81" w14:textId="0FBE7D8C" w:rsidR="000F22E9" w:rsidRPr="00135D9F" w:rsidRDefault="00551463" w:rsidP="009B3571">
      <w:pPr>
        <w:pStyle w:val="ListParagraph"/>
        <w:numPr>
          <w:ilvl w:val="0"/>
          <w:numId w:val="20"/>
        </w:numPr>
      </w:pPr>
      <w:r w:rsidRPr="00135D9F">
        <w:t>Carapiet</w:t>
      </w:r>
      <w:r w:rsidR="00135D9F" w:rsidRPr="00135D9F">
        <w:t>, J</w:t>
      </w:r>
    </w:p>
    <w:p w14:paraId="698ED67D" w14:textId="3FEA1D68" w:rsidR="00551463" w:rsidRPr="00135D9F" w:rsidRDefault="00135D9F" w:rsidP="009B3571">
      <w:pPr>
        <w:pStyle w:val="ListParagraph"/>
        <w:numPr>
          <w:ilvl w:val="0"/>
          <w:numId w:val="20"/>
        </w:numPr>
      </w:pPr>
      <w:r w:rsidRPr="00135D9F">
        <w:t>Davis, V</w:t>
      </w:r>
    </w:p>
    <w:p w14:paraId="20093D44" w14:textId="39EDAF57" w:rsidR="00135D9F" w:rsidRPr="00135D9F" w:rsidRDefault="00135D9F" w:rsidP="009B3571">
      <w:pPr>
        <w:pStyle w:val="ListParagraph"/>
        <w:numPr>
          <w:ilvl w:val="0"/>
          <w:numId w:val="20"/>
        </w:numPr>
      </w:pPr>
      <w:r w:rsidRPr="00135D9F">
        <w:t>Grammer, ZL</w:t>
      </w:r>
    </w:p>
    <w:p w14:paraId="4ED8F2CA" w14:textId="0882E16C" w:rsidR="00135D9F" w:rsidRDefault="00135D9F" w:rsidP="009B3571">
      <w:pPr>
        <w:pStyle w:val="ListParagraph"/>
        <w:numPr>
          <w:ilvl w:val="0"/>
          <w:numId w:val="20"/>
        </w:numPr>
      </w:pPr>
      <w:r w:rsidRPr="00025785">
        <w:t>Gaia, B</w:t>
      </w:r>
    </w:p>
    <w:p w14:paraId="200E9F7D" w14:textId="30ED7671" w:rsidR="00025785" w:rsidRDefault="00025785" w:rsidP="009B3571">
      <w:pPr>
        <w:pStyle w:val="ListParagraph"/>
        <w:numPr>
          <w:ilvl w:val="0"/>
          <w:numId w:val="20"/>
        </w:numPr>
      </w:pPr>
      <w:r>
        <w:lastRenderedPageBreak/>
        <w:t>Jackson, Sir P &amp; Walsh, Dame F</w:t>
      </w:r>
    </w:p>
    <w:p w14:paraId="20E58BC5" w14:textId="7D2E229F" w:rsidR="00025785" w:rsidRPr="00025785" w:rsidRDefault="00025785" w:rsidP="009B3571">
      <w:pPr>
        <w:pStyle w:val="ListParagraph"/>
        <w:numPr>
          <w:ilvl w:val="0"/>
          <w:numId w:val="20"/>
        </w:numPr>
      </w:pPr>
      <w:r>
        <w:t>Mueller-Glodde, R</w:t>
      </w:r>
    </w:p>
    <w:p w14:paraId="6E1EA87F" w14:textId="77777777" w:rsidR="00025785" w:rsidRPr="00135D9F" w:rsidRDefault="00025785" w:rsidP="009B3571">
      <w:pPr>
        <w:pStyle w:val="ListParagraph"/>
        <w:numPr>
          <w:ilvl w:val="0"/>
          <w:numId w:val="20"/>
        </w:numPr>
      </w:pPr>
      <w:r>
        <w:t>Robinson, M</w:t>
      </w:r>
    </w:p>
    <w:p w14:paraId="2384ACFB" w14:textId="60D1DB8A" w:rsidR="00025785" w:rsidRDefault="00025785" w:rsidP="009B3571">
      <w:pPr>
        <w:pStyle w:val="ListParagraph"/>
        <w:numPr>
          <w:ilvl w:val="0"/>
          <w:numId w:val="20"/>
        </w:numPr>
      </w:pPr>
      <w:r>
        <w:t>Vandeleur, K</w:t>
      </w:r>
    </w:p>
    <w:p w14:paraId="6DE02595" w14:textId="41CE5663" w:rsidR="00025785" w:rsidRDefault="00025785" w:rsidP="009B3571">
      <w:pPr>
        <w:pStyle w:val="ListParagraph"/>
        <w:numPr>
          <w:ilvl w:val="0"/>
          <w:numId w:val="20"/>
        </w:numPr>
      </w:pPr>
      <w:r>
        <w:t>Volker, P</w:t>
      </w:r>
    </w:p>
    <w:p w14:paraId="54790AD9" w14:textId="327E4B90" w:rsidR="00135D9F" w:rsidRPr="00135D9F" w:rsidRDefault="00135D9F" w:rsidP="00135D9F">
      <w:pPr>
        <w:pStyle w:val="FSCtMain"/>
        <w:rPr>
          <w:sz w:val="22"/>
          <w:u w:val="single"/>
        </w:rPr>
      </w:pPr>
      <w:r w:rsidRPr="00135D9F">
        <w:rPr>
          <w:sz w:val="22"/>
          <w:u w:val="single"/>
        </w:rPr>
        <w:t>Australia</w:t>
      </w:r>
    </w:p>
    <w:p w14:paraId="266CE3E3" w14:textId="540388A0" w:rsidR="00025785" w:rsidRPr="00025785" w:rsidRDefault="00025785" w:rsidP="009B3571">
      <w:pPr>
        <w:pStyle w:val="ListParagraph"/>
        <w:numPr>
          <w:ilvl w:val="0"/>
          <w:numId w:val="19"/>
        </w:numPr>
      </w:pPr>
      <w:r w:rsidRPr="00025785">
        <w:t>Grevillea, J</w:t>
      </w:r>
    </w:p>
    <w:p w14:paraId="43F9223D" w14:textId="4ECCEB54" w:rsidR="00135D9F" w:rsidRPr="00025785" w:rsidRDefault="00135D9F" w:rsidP="009B3571">
      <w:pPr>
        <w:pStyle w:val="ListParagraph"/>
        <w:numPr>
          <w:ilvl w:val="0"/>
          <w:numId w:val="19"/>
        </w:numPr>
      </w:pPr>
      <w:r w:rsidRPr="00025785">
        <w:t>Grogan, J</w:t>
      </w:r>
    </w:p>
    <w:p w14:paraId="6E6E5B3B" w14:textId="2253AC33" w:rsidR="00135D9F" w:rsidRPr="00025785" w:rsidRDefault="00135D9F" w:rsidP="009B3571">
      <w:pPr>
        <w:pStyle w:val="ListParagraph"/>
        <w:numPr>
          <w:ilvl w:val="0"/>
          <w:numId w:val="19"/>
        </w:numPr>
      </w:pPr>
      <w:r w:rsidRPr="00025785">
        <w:t>Hardy, S</w:t>
      </w:r>
    </w:p>
    <w:p w14:paraId="220C475E" w14:textId="136B3694" w:rsidR="00135D9F" w:rsidRPr="00025785" w:rsidRDefault="00025785" w:rsidP="009B3571">
      <w:pPr>
        <w:pStyle w:val="ListParagraph"/>
        <w:numPr>
          <w:ilvl w:val="0"/>
          <w:numId w:val="19"/>
        </w:numPr>
      </w:pPr>
      <w:r w:rsidRPr="00025785">
        <w:t>Jones, Col. B</w:t>
      </w:r>
    </w:p>
    <w:p w14:paraId="131997BF" w14:textId="7F73D2BA" w:rsidR="00025785" w:rsidRPr="00025785" w:rsidRDefault="00025785" w:rsidP="009B3571">
      <w:pPr>
        <w:pStyle w:val="ListParagraph"/>
        <w:numPr>
          <w:ilvl w:val="0"/>
          <w:numId w:val="19"/>
        </w:numPr>
      </w:pPr>
      <w:r w:rsidRPr="00025785">
        <w:t>Macris, J</w:t>
      </w:r>
    </w:p>
    <w:p w14:paraId="1A4490F2" w14:textId="77777777" w:rsidR="00135D9F" w:rsidRPr="000F22E9" w:rsidRDefault="00135D9F" w:rsidP="00135D9F">
      <w:pPr>
        <w:pStyle w:val="FSCtMain"/>
      </w:pPr>
    </w:p>
    <w:sectPr w:rsidR="00135D9F" w:rsidRPr="000F22E9" w:rsidSect="00A954EB">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90234" w14:textId="77777777" w:rsidR="005440CC" w:rsidRDefault="005440CC">
      <w:r>
        <w:separator/>
      </w:r>
    </w:p>
  </w:endnote>
  <w:endnote w:type="continuationSeparator" w:id="0">
    <w:p w14:paraId="2DBFBC5F" w14:textId="77777777" w:rsidR="005440CC" w:rsidRDefault="005440CC">
      <w:r>
        <w:continuationSeparator/>
      </w:r>
    </w:p>
  </w:endnote>
  <w:endnote w:type="continuationNotice" w:id="1">
    <w:p w14:paraId="32FF913C" w14:textId="77777777" w:rsidR="005440CC" w:rsidRDefault="00544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F3E3" w14:textId="6F05ADBE" w:rsidR="005440CC" w:rsidRDefault="005440CC" w:rsidP="00CC522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4D923C15" w14:textId="77777777" w:rsidR="005440CC" w:rsidRDefault="005440CC" w:rsidP="00E56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B13E1" w14:textId="09B2A4C4" w:rsidR="005440CC" w:rsidRDefault="005440CC" w:rsidP="00110041">
    <w:pPr>
      <w:pStyle w:val="Footer"/>
      <w:framePr w:wrap="around" w:vAnchor="text" w:hAnchor="margin" w:xAlign="center" w:y="4"/>
      <w:rPr>
        <w:rStyle w:val="PageNumber"/>
      </w:rPr>
    </w:pPr>
    <w:r>
      <w:rPr>
        <w:rStyle w:val="PageNumber"/>
      </w:rPr>
      <w:fldChar w:fldCharType="begin"/>
    </w:r>
    <w:r>
      <w:rPr>
        <w:rStyle w:val="PageNumber"/>
      </w:rPr>
      <w:instrText xml:space="preserve">PAGE  </w:instrText>
    </w:r>
    <w:r>
      <w:rPr>
        <w:rStyle w:val="PageNumber"/>
      </w:rPr>
      <w:fldChar w:fldCharType="separate"/>
    </w:r>
    <w:r w:rsidR="0058654C">
      <w:rPr>
        <w:rStyle w:val="PageNumber"/>
        <w:noProof/>
      </w:rPr>
      <w:t>11</w:t>
    </w:r>
    <w:r>
      <w:rPr>
        <w:rStyle w:val="PageNumber"/>
      </w:rPr>
      <w:fldChar w:fldCharType="end"/>
    </w:r>
  </w:p>
  <w:p w14:paraId="16665FEE" w14:textId="77777777" w:rsidR="005440CC" w:rsidRDefault="005440CC" w:rsidP="00E56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BF0D8" w14:textId="77777777" w:rsidR="005440CC" w:rsidRDefault="005440CC">
      <w:r>
        <w:separator/>
      </w:r>
    </w:p>
  </w:footnote>
  <w:footnote w:type="continuationSeparator" w:id="0">
    <w:p w14:paraId="023264FF" w14:textId="77777777" w:rsidR="005440CC" w:rsidRDefault="005440CC">
      <w:r>
        <w:continuationSeparator/>
      </w:r>
    </w:p>
  </w:footnote>
  <w:footnote w:type="continuationNotice" w:id="1">
    <w:p w14:paraId="12048EFE" w14:textId="77777777" w:rsidR="005440CC" w:rsidRDefault="005440CC"/>
  </w:footnote>
  <w:footnote w:id="2">
    <w:p w14:paraId="4C321DAB" w14:textId="2B1A52C4" w:rsidR="005440CC" w:rsidRPr="00133D6A" w:rsidRDefault="005440CC" w:rsidP="00133D6A">
      <w:pPr>
        <w:rPr>
          <w:sz w:val="20"/>
          <w:szCs w:val="18"/>
        </w:rPr>
      </w:pPr>
      <w:r w:rsidRPr="00385BC2">
        <w:rPr>
          <w:rStyle w:val="FootnoteReference"/>
          <w:sz w:val="18"/>
          <w:szCs w:val="18"/>
        </w:rPr>
        <w:footnoteRef/>
      </w:r>
      <w:r w:rsidRPr="00385BC2">
        <w:rPr>
          <w:sz w:val="18"/>
          <w:szCs w:val="18"/>
        </w:rPr>
        <w:t xml:space="preserve"> </w:t>
      </w:r>
      <w:r w:rsidRPr="00596724">
        <w:rPr>
          <w:sz w:val="20"/>
          <w:szCs w:val="18"/>
          <w:lang w:eastAsia="en-AU" w:bidi="ar-SA"/>
        </w:rPr>
        <w:t>FSANZ recognises that</w:t>
      </w:r>
      <w:r>
        <w:rPr>
          <w:sz w:val="20"/>
          <w:szCs w:val="18"/>
          <w:lang w:eastAsia="en-AU" w:bidi="ar-SA"/>
        </w:rPr>
        <w:t>,</w:t>
      </w:r>
      <w:r w:rsidRPr="00596724">
        <w:rPr>
          <w:sz w:val="20"/>
          <w:szCs w:val="18"/>
          <w:lang w:eastAsia="en-AU" w:bidi="ar-SA"/>
        </w:rPr>
        <w:t xml:space="preserve"> </w:t>
      </w:r>
      <w:r w:rsidRPr="00596724">
        <w:rPr>
          <w:sz w:val="20"/>
          <w:szCs w:val="18"/>
        </w:rPr>
        <w:t xml:space="preserve">in Australia and New Zealand, the English spelling </w:t>
      </w:r>
      <w:r>
        <w:rPr>
          <w:sz w:val="20"/>
          <w:szCs w:val="18"/>
        </w:rPr>
        <w:t>of</w:t>
      </w:r>
      <w:r w:rsidRPr="00596724">
        <w:rPr>
          <w:sz w:val="20"/>
          <w:szCs w:val="18"/>
        </w:rPr>
        <w:t xml:space="preserve"> ‘haem’ is more commonly used than ‘heme’, however the name ‘soy leghemoglobin’ is a product name used by the applicant. FSANZ will hereafter use ‘soy leghemoglobin’, ‘leghaemoglobin’ and ‘haem’</w:t>
      </w:r>
      <w:r>
        <w:rPr>
          <w:sz w:val="20"/>
          <w:szCs w:val="18"/>
        </w:rPr>
        <w:t xml:space="preserve">, as applicable. </w:t>
      </w:r>
    </w:p>
  </w:footnote>
  <w:footnote w:id="3">
    <w:p w14:paraId="357AA755" w14:textId="472129ED" w:rsidR="005440CC" w:rsidRPr="00133D6A" w:rsidRDefault="005440CC">
      <w:pPr>
        <w:pStyle w:val="FootnoteText"/>
        <w:rPr>
          <w:lang w:val="en-AU"/>
        </w:rPr>
      </w:pPr>
      <w:r>
        <w:rPr>
          <w:rStyle w:val="FootnoteReference"/>
        </w:rPr>
        <w:footnoteRef/>
      </w:r>
      <w:r>
        <w:t xml:space="preserve"> ‘weight for weight’ or ‘w/w’ means </w:t>
      </w:r>
      <w:r>
        <w:rPr>
          <w:rFonts w:eastAsia="Calibri"/>
          <w:szCs w:val="22"/>
          <w:lang w:bidi="ar-SA"/>
        </w:rPr>
        <w:t>0.8 g/100 g.</w:t>
      </w:r>
    </w:p>
  </w:footnote>
  <w:footnote w:id="4">
    <w:p w14:paraId="2C9D0077" w14:textId="4A0116EC" w:rsidR="005440CC" w:rsidRPr="00D94276" w:rsidRDefault="005440CC">
      <w:pPr>
        <w:pStyle w:val="FootnoteText"/>
        <w:rPr>
          <w:lang w:val="en-AU"/>
        </w:rPr>
      </w:pPr>
      <w:r>
        <w:rPr>
          <w:rStyle w:val="FootnoteReference"/>
        </w:rPr>
        <w:footnoteRef/>
      </w:r>
      <w:r>
        <w:t xml:space="preserve"> </w:t>
      </w:r>
      <w:r>
        <w:rPr>
          <w:lang w:val="en-AU"/>
        </w:rPr>
        <w:t>For the purposes of the draft variation, LegH Prep is referred to as a ‘soy leghemoglobin preparation’.</w:t>
      </w:r>
    </w:p>
  </w:footnote>
  <w:footnote w:id="5">
    <w:p w14:paraId="07A242A8" w14:textId="77777777" w:rsidR="005440CC" w:rsidRPr="00415D53" w:rsidRDefault="005440CC" w:rsidP="00DB194D">
      <w:pPr>
        <w:pStyle w:val="FootnoteText"/>
        <w:rPr>
          <w:lang w:val="en-AU"/>
        </w:rPr>
      </w:pPr>
      <w:r>
        <w:rPr>
          <w:rStyle w:val="FootnoteReference"/>
        </w:rPr>
        <w:footnoteRef/>
      </w:r>
      <w:r>
        <w:t xml:space="preserve"> </w:t>
      </w:r>
      <w:hyperlink r:id="rId1" w:history="1">
        <w:r w:rsidRPr="003038BD">
          <w:rPr>
            <w:rStyle w:val="Hyperlink"/>
          </w:rPr>
          <w:t>https://foodregulation.gov.au/internet/fr/publishing.nsf/Content/publication-Policy-Guideline-for-the-Fortification-of-Foods-with-Vitamins-and-Minerals</w:t>
        </w:r>
      </w:hyperlink>
      <w:r>
        <w:t xml:space="preserve"> </w:t>
      </w:r>
    </w:p>
  </w:footnote>
  <w:footnote w:id="6">
    <w:p w14:paraId="624BD86F" w14:textId="77777777" w:rsidR="005440CC" w:rsidRPr="00CA420F" w:rsidRDefault="005440CC" w:rsidP="00CE61A2">
      <w:pPr>
        <w:pStyle w:val="FootnoteText"/>
        <w:rPr>
          <w:lang w:val="en-AU"/>
        </w:rPr>
      </w:pPr>
      <w:r>
        <w:rPr>
          <w:rStyle w:val="FootnoteReference"/>
        </w:rPr>
        <w:footnoteRef/>
      </w:r>
      <w:r>
        <w:t xml:space="preserve"> </w:t>
      </w:r>
      <w:r>
        <w:rPr>
          <w:lang w:val="en-AU"/>
        </w:rPr>
        <w:t xml:space="preserve">FSANZ searched for “impossible foods” on </w:t>
      </w:r>
      <w:hyperlink r:id="rId2" w:history="1">
        <w:r w:rsidRPr="00F03945">
          <w:rPr>
            <w:rStyle w:val="Hyperlink"/>
            <w:lang w:val="en-AU"/>
          </w:rPr>
          <w:t>New Zealand Intellectual Property Office</w:t>
        </w:r>
      </w:hyperlink>
      <w:r>
        <w:rPr>
          <w:lang w:val="en-AU"/>
        </w:rPr>
        <w:t xml:space="preserve"> and </w:t>
      </w:r>
      <w:hyperlink r:id="rId3" w:history="1">
        <w:r w:rsidRPr="00F03945">
          <w:rPr>
            <w:rStyle w:val="Hyperlink"/>
            <w:lang w:val="en-AU"/>
          </w:rPr>
          <w:t>IP Australia</w:t>
        </w:r>
      </w:hyperlink>
      <w:r>
        <w:rPr>
          <w:lang w:val="en-AU"/>
        </w:rPr>
        <w:t xml:space="preserve"> websites.</w:t>
      </w:r>
    </w:p>
  </w:footnote>
  <w:footnote w:id="7">
    <w:p w14:paraId="73248316" w14:textId="77777777" w:rsidR="005440CC" w:rsidRPr="00483E80" w:rsidRDefault="005440CC" w:rsidP="00367EBE">
      <w:pPr>
        <w:pStyle w:val="FootnoteText"/>
        <w:rPr>
          <w:lang w:val="en-AU"/>
        </w:rPr>
      </w:pPr>
      <w:r>
        <w:rPr>
          <w:rStyle w:val="FootnoteReference"/>
        </w:rPr>
        <w:footnoteRef/>
      </w:r>
      <w:r>
        <w:t xml:space="preserve"> The meaning of </w:t>
      </w:r>
      <w:r>
        <w:rPr>
          <w:lang w:val="en-AU"/>
        </w:rPr>
        <w:t>‘reference quantity’ is provided in subsection 1.1.2—2(3) of the Code.</w:t>
      </w:r>
    </w:p>
  </w:footnote>
  <w:footnote w:id="8">
    <w:p w14:paraId="6DF9F347" w14:textId="77777777" w:rsidR="005440CC" w:rsidRPr="00216358" w:rsidRDefault="005440CC" w:rsidP="00367EBE">
      <w:pPr>
        <w:pStyle w:val="FootnoteText"/>
        <w:rPr>
          <w:lang w:val="en-AU"/>
        </w:rPr>
      </w:pPr>
      <w:r>
        <w:rPr>
          <w:rStyle w:val="FootnoteReference"/>
        </w:rPr>
        <w:footnoteRef/>
      </w:r>
      <w:r>
        <w:t xml:space="preserve"> </w:t>
      </w:r>
      <w:r w:rsidRPr="003C6FAC">
        <w:t>‘Caterer’ is defined as a person, establishment or institution (for example, a catering establishment, a restaurant, a canteen, a school, or a hospital) which handles or offers food for immediate consumption (subsection 1.1.2—2(3) of the Code. Consequently, in relation to such food, a consumer may seek information about the food from the food business.</w:t>
      </w:r>
    </w:p>
  </w:footnote>
  <w:footnote w:id="9">
    <w:p w14:paraId="5FE7670A" w14:textId="4D94631A" w:rsidR="005440CC" w:rsidRPr="00320EFF" w:rsidRDefault="005440CC" w:rsidP="000B0B52">
      <w:pPr>
        <w:pStyle w:val="FootnoteText"/>
        <w:rPr>
          <w:lang w:val="en-AU"/>
        </w:rPr>
      </w:pPr>
      <w:r>
        <w:rPr>
          <w:rStyle w:val="FootnoteReference"/>
        </w:rPr>
        <w:footnoteRef/>
      </w:r>
      <w:r>
        <w:t xml:space="preserve"> FAO is the F</w:t>
      </w:r>
      <w:r w:rsidRPr="00320EFF">
        <w:t xml:space="preserve">ood and </w:t>
      </w:r>
      <w:r>
        <w:t>A</w:t>
      </w:r>
      <w:r w:rsidRPr="00320EFF">
        <w:t xml:space="preserve">griculture </w:t>
      </w:r>
      <w:r>
        <w:t>O</w:t>
      </w:r>
      <w:r w:rsidRPr="00320EFF">
        <w:t xml:space="preserve">rganization of the </w:t>
      </w:r>
      <w:r>
        <w:t>U</w:t>
      </w:r>
      <w:r w:rsidRPr="00320EFF">
        <w:t xml:space="preserve">nited </w:t>
      </w:r>
      <w:r>
        <w:t>N</w:t>
      </w:r>
      <w:r w:rsidRPr="00320EFF">
        <w:t>ations</w:t>
      </w:r>
      <w:r>
        <w:t>; WHO is the World Health Organization.</w:t>
      </w:r>
    </w:p>
  </w:footnote>
  <w:footnote w:id="10">
    <w:p w14:paraId="5B076BA2" w14:textId="77777777" w:rsidR="005440CC" w:rsidRPr="00090D27" w:rsidRDefault="005440CC" w:rsidP="00A260F0">
      <w:pPr>
        <w:pStyle w:val="FootnoteText"/>
        <w:rPr>
          <w:lang w:val="en-AU"/>
        </w:rPr>
      </w:pPr>
      <w:r>
        <w:rPr>
          <w:rStyle w:val="FootnoteReference"/>
        </w:rPr>
        <w:footnoteRef/>
      </w:r>
      <w:r>
        <w:t xml:space="preserve"> </w:t>
      </w:r>
      <w:r w:rsidRPr="001753D9">
        <w:t>https://www.regulations.gov/document?D=FDA-2018-C-4464-0002</w:t>
      </w:r>
    </w:p>
  </w:footnote>
  <w:footnote w:id="11">
    <w:p w14:paraId="34F7FF1C" w14:textId="77777777" w:rsidR="005440CC" w:rsidRPr="00280A87" w:rsidRDefault="005440CC" w:rsidP="00F679A6">
      <w:pPr>
        <w:pStyle w:val="FootnoteText"/>
        <w:rPr>
          <w:lang w:val="en-AU"/>
        </w:rPr>
      </w:pPr>
      <w:r>
        <w:rPr>
          <w:rStyle w:val="FootnoteReference"/>
        </w:rPr>
        <w:footnoteRef/>
      </w:r>
      <w:r>
        <w:t xml:space="preserve"> For further information see </w:t>
      </w:r>
      <w:hyperlink r:id="rId4" w:history="1">
        <w:r w:rsidRPr="00280A87">
          <w:rPr>
            <w:rStyle w:val="Hyperlink"/>
          </w:rPr>
          <w:t>EFSA registration of questions webpage</w:t>
        </w:r>
      </w:hyperlink>
      <w:r>
        <w:t xml:space="preserve">; Application number </w:t>
      </w:r>
      <w:r w:rsidRPr="008B10A5">
        <w:t>GMO-2019-0008</w:t>
      </w:r>
      <w:r>
        <w:t xml:space="preserve">; </w:t>
      </w:r>
      <w:r w:rsidRPr="00280A87">
        <w:t>mandate number is M-2019-0132.</w:t>
      </w:r>
    </w:p>
  </w:footnote>
  <w:footnote w:id="12">
    <w:p w14:paraId="3F58D0BB" w14:textId="77777777" w:rsidR="005440CC" w:rsidRPr="00EC69FD" w:rsidRDefault="005440CC">
      <w:pPr>
        <w:pStyle w:val="FootnoteText"/>
        <w:rPr>
          <w:lang w:val="en-AU"/>
        </w:rPr>
      </w:pPr>
      <w:r w:rsidRPr="00EC69FD">
        <w:rPr>
          <w:rStyle w:val="FootnoteReference"/>
        </w:rPr>
        <w:footnoteRef/>
      </w:r>
      <w:r>
        <w:t xml:space="preserve"> </w:t>
      </w:r>
      <w:hyperlink r:id="rId5" w:history="1">
        <w:r w:rsidRPr="007062BB">
          <w:rPr>
            <w:rStyle w:val="Hyperlink"/>
          </w:rPr>
          <w:t>www.foodstandards.gov.au/consumer/gmfood/adverse/Pages/default.aspx</w:t>
        </w:r>
      </w:hyperlink>
      <w:r>
        <w:t xml:space="preserve"> </w:t>
      </w:r>
    </w:p>
  </w:footnote>
  <w:footnote w:id="13">
    <w:p w14:paraId="5E4CDB38" w14:textId="42022530" w:rsidR="005440CC" w:rsidRPr="003C48F0" w:rsidRDefault="005440CC">
      <w:pPr>
        <w:pStyle w:val="FootnoteText"/>
        <w:rPr>
          <w:lang w:val="en-AU"/>
        </w:rPr>
      </w:pPr>
      <w:r>
        <w:rPr>
          <w:rStyle w:val="FootnoteReference"/>
        </w:rPr>
        <w:footnoteRef/>
      </w:r>
      <w:r>
        <w:t xml:space="preserve"> </w:t>
      </w:r>
      <w:r w:rsidRPr="003C48F0">
        <w:rPr>
          <w:b/>
        </w:rPr>
        <w:t>Caterer</w:t>
      </w:r>
      <w:r w:rsidRPr="003C48F0">
        <w:t xml:space="preserve"> is defined as a person, establishment or institution (for example, a catering establishment, a restaurant, a canteen, a school, or a hospital) which handles or offers food for immediate consumption (subsection 1.1.2—2(3) of Standard 1.1.2 </w:t>
      </w:r>
      <w:r>
        <w:t>–</w:t>
      </w:r>
      <w:r w:rsidRPr="003C48F0">
        <w:t xml:space="preserve"> Definitions used throughout the Code.</w:t>
      </w:r>
    </w:p>
  </w:footnote>
  <w:footnote w:id="14">
    <w:p w14:paraId="6B620D70" w14:textId="77777777" w:rsidR="005440CC" w:rsidRDefault="005440CC" w:rsidP="0045560B">
      <w:pPr>
        <w:pStyle w:val="FootnoteText"/>
        <w:rPr>
          <w:lang w:val="en-AU"/>
        </w:rPr>
      </w:pPr>
      <w:r>
        <w:rPr>
          <w:rStyle w:val="FootnoteReference"/>
        </w:rPr>
        <w:footnoteRef/>
      </w:r>
      <w:r>
        <w:t xml:space="preserve"> </w:t>
      </w:r>
      <w:hyperlink r:id="rId6" w:history="1">
        <w:r>
          <w:rPr>
            <w:rStyle w:val="Hyperlink"/>
            <w:rFonts w:eastAsiaTheme="majorEastAsia"/>
          </w:rPr>
          <w:t>https://foodregulation.gov.au/internet/fr/publishing.nsf/Content/publication-Policy-Guideline-for-the-Fortification-of-Foods-with-Vitamins-and-Minerals</w:t>
        </w:r>
      </w:hyperlink>
      <w:r>
        <w:t xml:space="preserve"> </w:t>
      </w:r>
    </w:p>
  </w:footnote>
  <w:footnote w:id="15">
    <w:p w14:paraId="0D4396E3" w14:textId="77777777" w:rsidR="005440CC" w:rsidRPr="0083532C" w:rsidRDefault="005440CC" w:rsidP="00021FF9">
      <w:pPr>
        <w:pStyle w:val="FootnoteText"/>
        <w:rPr>
          <w:lang w:val="en-AU"/>
        </w:rPr>
      </w:pPr>
      <w:r>
        <w:rPr>
          <w:rStyle w:val="FootnoteReference"/>
        </w:rPr>
        <w:footnoteRef/>
      </w:r>
      <w:r>
        <w:t xml:space="preserve"> </w:t>
      </w:r>
      <w:r>
        <w:rPr>
          <w:lang w:val="en-AU"/>
        </w:rPr>
        <w:t xml:space="preserve">See </w:t>
      </w:r>
      <w:hyperlink r:id="rId7" w:history="1">
        <w:r w:rsidRPr="0083532C">
          <w:rPr>
            <w:rStyle w:val="Hyperlink"/>
            <w:lang w:val="en-AU"/>
          </w:rPr>
          <w:t>Communique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B8320" w14:textId="6B43A438" w:rsidR="005440CC" w:rsidRDefault="005440CC">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1D85E0C"/>
    <w:multiLevelType w:val="hybridMultilevel"/>
    <w:tmpl w:val="8214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5F25D6"/>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2645CA7"/>
    <w:multiLevelType w:val="hybridMultilevel"/>
    <w:tmpl w:val="78782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BD300E"/>
    <w:multiLevelType w:val="hybridMultilevel"/>
    <w:tmpl w:val="22346A4A"/>
    <w:lvl w:ilvl="0" w:tplc="57083EE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481668"/>
    <w:multiLevelType w:val="hybridMultilevel"/>
    <w:tmpl w:val="A98E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1180F"/>
    <w:multiLevelType w:val="hybridMultilevel"/>
    <w:tmpl w:val="9240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631105"/>
    <w:multiLevelType w:val="hybridMultilevel"/>
    <w:tmpl w:val="7924C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45707C1"/>
    <w:multiLevelType w:val="hybridMultilevel"/>
    <w:tmpl w:val="2D3E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E3B88"/>
    <w:multiLevelType w:val="hybridMultilevel"/>
    <w:tmpl w:val="4038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D06D3B"/>
    <w:multiLevelType w:val="hybridMultilevel"/>
    <w:tmpl w:val="445C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90E3B"/>
    <w:multiLevelType w:val="hybridMultilevel"/>
    <w:tmpl w:val="B8B0AAFE"/>
    <w:lvl w:ilvl="0" w:tplc="3C10B5F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1EE449DB"/>
    <w:multiLevelType w:val="hybridMultilevel"/>
    <w:tmpl w:val="FE76A75E"/>
    <w:lvl w:ilvl="0" w:tplc="C95C5FD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F609A"/>
    <w:multiLevelType w:val="hybridMultilevel"/>
    <w:tmpl w:val="631A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AC492C"/>
    <w:multiLevelType w:val="hybridMultilevel"/>
    <w:tmpl w:val="08FE6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315BAB"/>
    <w:multiLevelType w:val="hybridMultilevel"/>
    <w:tmpl w:val="277AE6CC"/>
    <w:lvl w:ilvl="0" w:tplc="DB2230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24526"/>
    <w:multiLevelType w:val="hybridMultilevel"/>
    <w:tmpl w:val="107C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1F4EC6"/>
    <w:multiLevelType w:val="hybridMultilevel"/>
    <w:tmpl w:val="083638A0"/>
    <w:lvl w:ilvl="0" w:tplc="F2FEACB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6A34FA2"/>
    <w:multiLevelType w:val="hybridMultilevel"/>
    <w:tmpl w:val="8BA4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070BC"/>
    <w:multiLevelType w:val="hybridMultilevel"/>
    <w:tmpl w:val="77348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EB217D"/>
    <w:multiLevelType w:val="hybridMultilevel"/>
    <w:tmpl w:val="C7A4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1F695E"/>
    <w:multiLevelType w:val="hybridMultilevel"/>
    <w:tmpl w:val="F9B6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2580C"/>
    <w:multiLevelType w:val="hybridMultilevel"/>
    <w:tmpl w:val="13B2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63DA4"/>
    <w:multiLevelType w:val="hybridMultilevel"/>
    <w:tmpl w:val="1D04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E6536E"/>
    <w:multiLevelType w:val="hybridMultilevel"/>
    <w:tmpl w:val="54F8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E44E7F"/>
    <w:multiLevelType w:val="hybridMultilevel"/>
    <w:tmpl w:val="21DC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FD3728"/>
    <w:multiLevelType w:val="hybridMultilevel"/>
    <w:tmpl w:val="5C80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EE0BC8"/>
    <w:multiLevelType w:val="hybridMultilevel"/>
    <w:tmpl w:val="22346A4A"/>
    <w:lvl w:ilvl="0" w:tplc="57083EE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6F2BB0"/>
    <w:multiLevelType w:val="hybridMultilevel"/>
    <w:tmpl w:val="6786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2C2682"/>
    <w:multiLevelType w:val="hybridMultilevel"/>
    <w:tmpl w:val="69B0E834"/>
    <w:lvl w:ilvl="0" w:tplc="63C60B0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A1E70D4"/>
    <w:multiLevelType w:val="hybridMultilevel"/>
    <w:tmpl w:val="910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C045A1"/>
    <w:multiLevelType w:val="hybridMultilevel"/>
    <w:tmpl w:val="D62A94EC"/>
    <w:lvl w:ilvl="0" w:tplc="903275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6" w15:restartNumberingAfterBreak="0">
    <w:nsid w:val="67562AE8"/>
    <w:multiLevelType w:val="hybridMultilevel"/>
    <w:tmpl w:val="5F3C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D53A01"/>
    <w:multiLevelType w:val="hybridMultilevel"/>
    <w:tmpl w:val="065A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70ACD"/>
    <w:multiLevelType w:val="hybridMultilevel"/>
    <w:tmpl w:val="E198004E"/>
    <w:lvl w:ilvl="0" w:tplc="E37221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327D04"/>
    <w:multiLevelType w:val="hybridMultilevel"/>
    <w:tmpl w:val="3EF23908"/>
    <w:lvl w:ilvl="0" w:tplc="57083EE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C44B4D"/>
    <w:multiLevelType w:val="hybridMultilevel"/>
    <w:tmpl w:val="B8B0AAFE"/>
    <w:lvl w:ilvl="0" w:tplc="3C10B5F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15:restartNumberingAfterBreak="0">
    <w:nsid w:val="7855201B"/>
    <w:multiLevelType w:val="hybridMultilevel"/>
    <w:tmpl w:val="BDBA02CA"/>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42" w15:restartNumberingAfterBreak="0">
    <w:nsid w:val="7B6F1F84"/>
    <w:multiLevelType w:val="hybridMultilevel"/>
    <w:tmpl w:val="6A909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D5BCB"/>
    <w:multiLevelType w:val="hybridMultilevel"/>
    <w:tmpl w:val="ADD4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4958AA"/>
    <w:multiLevelType w:val="hybridMultilevel"/>
    <w:tmpl w:val="659C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80228A"/>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8"/>
  </w:num>
  <w:num w:numId="2">
    <w:abstractNumId w:val="2"/>
  </w:num>
  <w:num w:numId="3">
    <w:abstractNumId w:val="35"/>
  </w:num>
  <w:num w:numId="4">
    <w:abstractNumId w:val="21"/>
  </w:num>
  <w:num w:numId="5">
    <w:abstractNumId w:val="8"/>
  </w:num>
  <w:num w:numId="6">
    <w:abstractNumId w:val="12"/>
  </w:num>
  <w:num w:numId="7">
    <w:abstractNumId w:val="15"/>
  </w:num>
  <w:num w:numId="8">
    <w:abstractNumId w:val="30"/>
  </w:num>
  <w:num w:numId="9">
    <w:abstractNumId w:val="37"/>
  </w:num>
  <w:num w:numId="10">
    <w:abstractNumId w:val="16"/>
  </w:num>
  <w:num w:numId="11">
    <w:abstractNumId w:val="41"/>
  </w:num>
  <w:num w:numId="12">
    <w:abstractNumId w:val="29"/>
  </w:num>
  <w:num w:numId="13">
    <w:abstractNumId w:val="42"/>
  </w:num>
  <w:num w:numId="14">
    <w:abstractNumId w:val="20"/>
  </w:num>
  <w:num w:numId="15">
    <w:abstractNumId w:val="26"/>
  </w:num>
  <w:num w:numId="16">
    <w:abstractNumId w:val="36"/>
  </w:num>
  <w:num w:numId="17">
    <w:abstractNumId w:val="23"/>
  </w:num>
  <w:num w:numId="18">
    <w:abstractNumId w:val="31"/>
  </w:num>
  <w:num w:numId="19">
    <w:abstractNumId w:val="43"/>
  </w:num>
  <w:num w:numId="20">
    <w:abstractNumId w:val="27"/>
  </w:num>
  <w:num w:numId="21">
    <w:abstractNumId w:val="38"/>
  </w:num>
  <w:num w:numId="22">
    <w:abstractNumId w:val="40"/>
  </w:num>
  <w:num w:numId="23">
    <w:abstractNumId w:val="6"/>
  </w:num>
  <w:num w:numId="24">
    <w:abstractNumId w:val="39"/>
  </w:num>
  <w:num w:numId="25">
    <w:abstractNumId w:val="5"/>
  </w:num>
  <w:num w:numId="26">
    <w:abstractNumId w:val="9"/>
  </w:num>
  <w:num w:numId="27">
    <w:abstractNumId w:val="25"/>
  </w:num>
  <w:num w:numId="28">
    <w:abstractNumId w:val="17"/>
  </w:num>
  <w:num w:numId="29">
    <w:abstractNumId w:val="44"/>
  </w:num>
  <w:num w:numId="30">
    <w:abstractNumId w:val="22"/>
  </w:num>
  <w:num w:numId="31">
    <w:abstractNumId w:val="18"/>
  </w:num>
  <w:num w:numId="32">
    <w:abstractNumId w:val="10"/>
  </w:num>
  <w:num w:numId="33">
    <w:abstractNumId w:val="11"/>
  </w:num>
  <w:num w:numId="34">
    <w:abstractNumId w:val="14"/>
  </w:num>
  <w:num w:numId="35">
    <w:abstractNumId w:val="34"/>
  </w:num>
  <w:num w:numId="36">
    <w:abstractNumId w:val="33"/>
  </w:num>
  <w:num w:numId="37">
    <w:abstractNumId w:val="13"/>
  </w:num>
  <w:num w:numId="38">
    <w:abstractNumId w:val="1"/>
  </w:num>
  <w:num w:numId="39">
    <w:abstractNumId w:val="0"/>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3"/>
  </w:num>
  <w:num w:numId="46">
    <w:abstractNumId w:val="24"/>
  </w:num>
  <w:num w:numId="4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F2"/>
    <w:rsid w:val="00000821"/>
    <w:rsid w:val="00001409"/>
    <w:rsid w:val="0000153F"/>
    <w:rsid w:val="00001CF2"/>
    <w:rsid w:val="0000247B"/>
    <w:rsid w:val="000032EF"/>
    <w:rsid w:val="000038BD"/>
    <w:rsid w:val="00004274"/>
    <w:rsid w:val="0000469B"/>
    <w:rsid w:val="00004AC2"/>
    <w:rsid w:val="00004AFF"/>
    <w:rsid w:val="00004DAB"/>
    <w:rsid w:val="0000736F"/>
    <w:rsid w:val="00010531"/>
    <w:rsid w:val="0001069D"/>
    <w:rsid w:val="000121A4"/>
    <w:rsid w:val="00012B4A"/>
    <w:rsid w:val="000143DF"/>
    <w:rsid w:val="00014A46"/>
    <w:rsid w:val="00015E5A"/>
    <w:rsid w:val="000166FC"/>
    <w:rsid w:val="00016819"/>
    <w:rsid w:val="00016CB6"/>
    <w:rsid w:val="000173DD"/>
    <w:rsid w:val="000176E0"/>
    <w:rsid w:val="0001770C"/>
    <w:rsid w:val="000177C1"/>
    <w:rsid w:val="00020409"/>
    <w:rsid w:val="000211EE"/>
    <w:rsid w:val="00021FF9"/>
    <w:rsid w:val="00022906"/>
    <w:rsid w:val="00022D4A"/>
    <w:rsid w:val="00022DBC"/>
    <w:rsid w:val="0002417C"/>
    <w:rsid w:val="00024D45"/>
    <w:rsid w:val="00025785"/>
    <w:rsid w:val="000258FF"/>
    <w:rsid w:val="00025CD4"/>
    <w:rsid w:val="00026F50"/>
    <w:rsid w:val="00027786"/>
    <w:rsid w:val="000316A2"/>
    <w:rsid w:val="00032ED3"/>
    <w:rsid w:val="00033230"/>
    <w:rsid w:val="0003354C"/>
    <w:rsid w:val="00033970"/>
    <w:rsid w:val="00034C11"/>
    <w:rsid w:val="00034F87"/>
    <w:rsid w:val="00035D4D"/>
    <w:rsid w:val="00035FF3"/>
    <w:rsid w:val="00036D51"/>
    <w:rsid w:val="000409A2"/>
    <w:rsid w:val="000427B2"/>
    <w:rsid w:val="0004388E"/>
    <w:rsid w:val="00044345"/>
    <w:rsid w:val="00046F2F"/>
    <w:rsid w:val="00050BA7"/>
    <w:rsid w:val="00050C0B"/>
    <w:rsid w:val="00051021"/>
    <w:rsid w:val="0005130D"/>
    <w:rsid w:val="00051ED9"/>
    <w:rsid w:val="000533A8"/>
    <w:rsid w:val="00055564"/>
    <w:rsid w:val="00055CAC"/>
    <w:rsid w:val="000564DE"/>
    <w:rsid w:val="00056505"/>
    <w:rsid w:val="00057181"/>
    <w:rsid w:val="0005734D"/>
    <w:rsid w:val="00057359"/>
    <w:rsid w:val="000579FB"/>
    <w:rsid w:val="00064003"/>
    <w:rsid w:val="00064B26"/>
    <w:rsid w:val="00064B2D"/>
    <w:rsid w:val="00065F1F"/>
    <w:rsid w:val="000663C0"/>
    <w:rsid w:val="0006642B"/>
    <w:rsid w:val="00066690"/>
    <w:rsid w:val="0006677A"/>
    <w:rsid w:val="00070C74"/>
    <w:rsid w:val="00072543"/>
    <w:rsid w:val="000735FD"/>
    <w:rsid w:val="0007466A"/>
    <w:rsid w:val="0007541F"/>
    <w:rsid w:val="00075552"/>
    <w:rsid w:val="0007644D"/>
    <w:rsid w:val="00076D33"/>
    <w:rsid w:val="00077573"/>
    <w:rsid w:val="000778D6"/>
    <w:rsid w:val="00080601"/>
    <w:rsid w:val="000811D7"/>
    <w:rsid w:val="00081C38"/>
    <w:rsid w:val="00081EA0"/>
    <w:rsid w:val="00081EB9"/>
    <w:rsid w:val="000826EE"/>
    <w:rsid w:val="00082D04"/>
    <w:rsid w:val="00083C92"/>
    <w:rsid w:val="00084454"/>
    <w:rsid w:val="000856C4"/>
    <w:rsid w:val="00086350"/>
    <w:rsid w:val="000877DD"/>
    <w:rsid w:val="00090C9E"/>
    <w:rsid w:val="000916E6"/>
    <w:rsid w:val="00091C00"/>
    <w:rsid w:val="00091CC2"/>
    <w:rsid w:val="00092875"/>
    <w:rsid w:val="00092C36"/>
    <w:rsid w:val="00093AF6"/>
    <w:rsid w:val="000944C8"/>
    <w:rsid w:val="0009457D"/>
    <w:rsid w:val="00095419"/>
    <w:rsid w:val="000960F7"/>
    <w:rsid w:val="000A0A00"/>
    <w:rsid w:val="000A1226"/>
    <w:rsid w:val="000A2239"/>
    <w:rsid w:val="000A27E9"/>
    <w:rsid w:val="000A2858"/>
    <w:rsid w:val="000A31C2"/>
    <w:rsid w:val="000A328B"/>
    <w:rsid w:val="000A3690"/>
    <w:rsid w:val="000A376F"/>
    <w:rsid w:val="000A3D8B"/>
    <w:rsid w:val="000A5DF8"/>
    <w:rsid w:val="000A5E22"/>
    <w:rsid w:val="000A64CF"/>
    <w:rsid w:val="000A7059"/>
    <w:rsid w:val="000B0159"/>
    <w:rsid w:val="000B0B52"/>
    <w:rsid w:val="000B0E92"/>
    <w:rsid w:val="000B1696"/>
    <w:rsid w:val="000B16A9"/>
    <w:rsid w:val="000B27BA"/>
    <w:rsid w:val="000B35E3"/>
    <w:rsid w:val="000B3D4B"/>
    <w:rsid w:val="000B3E4B"/>
    <w:rsid w:val="000B4300"/>
    <w:rsid w:val="000B4C6B"/>
    <w:rsid w:val="000B4D20"/>
    <w:rsid w:val="000B5241"/>
    <w:rsid w:val="000B6AF2"/>
    <w:rsid w:val="000C05E3"/>
    <w:rsid w:val="000C0D23"/>
    <w:rsid w:val="000C15C1"/>
    <w:rsid w:val="000C299F"/>
    <w:rsid w:val="000C2CAA"/>
    <w:rsid w:val="000C3526"/>
    <w:rsid w:val="000C412C"/>
    <w:rsid w:val="000C54D6"/>
    <w:rsid w:val="000C56D1"/>
    <w:rsid w:val="000C611D"/>
    <w:rsid w:val="000C660A"/>
    <w:rsid w:val="000D111A"/>
    <w:rsid w:val="000D18F5"/>
    <w:rsid w:val="000D295F"/>
    <w:rsid w:val="000D333A"/>
    <w:rsid w:val="000D43C5"/>
    <w:rsid w:val="000D49B3"/>
    <w:rsid w:val="000D6FD4"/>
    <w:rsid w:val="000D718B"/>
    <w:rsid w:val="000D75B6"/>
    <w:rsid w:val="000E0385"/>
    <w:rsid w:val="000E0AE4"/>
    <w:rsid w:val="000E11DD"/>
    <w:rsid w:val="000E20ED"/>
    <w:rsid w:val="000E22F8"/>
    <w:rsid w:val="000E3DBC"/>
    <w:rsid w:val="000E3ED4"/>
    <w:rsid w:val="000E4C1B"/>
    <w:rsid w:val="000E54F0"/>
    <w:rsid w:val="000E5BB1"/>
    <w:rsid w:val="000E60C0"/>
    <w:rsid w:val="000E6B8F"/>
    <w:rsid w:val="000E702F"/>
    <w:rsid w:val="000E7C43"/>
    <w:rsid w:val="000F10C5"/>
    <w:rsid w:val="000F22E9"/>
    <w:rsid w:val="000F343C"/>
    <w:rsid w:val="000F47CC"/>
    <w:rsid w:val="000F4BDC"/>
    <w:rsid w:val="000F4C7C"/>
    <w:rsid w:val="000F5D40"/>
    <w:rsid w:val="000F7A20"/>
    <w:rsid w:val="00100F73"/>
    <w:rsid w:val="001012CD"/>
    <w:rsid w:val="00101524"/>
    <w:rsid w:val="00103471"/>
    <w:rsid w:val="00103BE5"/>
    <w:rsid w:val="00103F0E"/>
    <w:rsid w:val="00104531"/>
    <w:rsid w:val="0010542D"/>
    <w:rsid w:val="00105796"/>
    <w:rsid w:val="001065C9"/>
    <w:rsid w:val="00106EBF"/>
    <w:rsid w:val="0010784D"/>
    <w:rsid w:val="00110041"/>
    <w:rsid w:val="00110183"/>
    <w:rsid w:val="00110754"/>
    <w:rsid w:val="0011100E"/>
    <w:rsid w:val="001120A3"/>
    <w:rsid w:val="001128EB"/>
    <w:rsid w:val="00112AA0"/>
    <w:rsid w:val="00113327"/>
    <w:rsid w:val="00113970"/>
    <w:rsid w:val="00113CE3"/>
    <w:rsid w:val="00114523"/>
    <w:rsid w:val="001155DC"/>
    <w:rsid w:val="001155F1"/>
    <w:rsid w:val="001157BB"/>
    <w:rsid w:val="00116603"/>
    <w:rsid w:val="00117522"/>
    <w:rsid w:val="00117D86"/>
    <w:rsid w:val="00117EB9"/>
    <w:rsid w:val="001206E4"/>
    <w:rsid w:val="00120D3B"/>
    <w:rsid w:val="001217F9"/>
    <w:rsid w:val="00121995"/>
    <w:rsid w:val="00122195"/>
    <w:rsid w:val="0012303E"/>
    <w:rsid w:val="001237EB"/>
    <w:rsid w:val="00123DA8"/>
    <w:rsid w:val="00125E6E"/>
    <w:rsid w:val="00126FEA"/>
    <w:rsid w:val="0012785E"/>
    <w:rsid w:val="00131029"/>
    <w:rsid w:val="00133D6A"/>
    <w:rsid w:val="001350D6"/>
    <w:rsid w:val="00135A12"/>
    <w:rsid w:val="00135D9F"/>
    <w:rsid w:val="0013678A"/>
    <w:rsid w:val="0013752E"/>
    <w:rsid w:val="00137C21"/>
    <w:rsid w:val="0014023C"/>
    <w:rsid w:val="00140B5F"/>
    <w:rsid w:val="00141203"/>
    <w:rsid w:val="00141656"/>
    <w:rsid w:val="0014389B"/>
    <w:rsid w:val="00143EE8"/>
    <w:rsid w:val="0014484F"/>
    <w:rsid w:val="001462A3"/>
    <w:rsid w:val="00146FED"/>
    <w:rsid w:val="00147BE9"/>
    <w:rsid w:val="00147E9B"/>
    <w:rsid w:val="00151550"/>
    <w:rsid w:val="00151818"/>
    <w:rsid w:val="0015184F"/>
    <w:rsid w:val="0015200F"/>
    <w:rsid w:val="0015290B"/>
    <w:rsid w:val="001542D8"/>
    <w:rsid w:val="00156442"/>
    <w:rsid w:val="00156497"/>
    <w:rsid w:val="001566D9"/>
    <w:rsid w:val="001572F2"/>
    <w:rsid w:val="00157780"/>
    <w:rsid w:val="00157B11"/>
    <w:rsid w:val="00163017"/>
    <w:rsid w:val="00163C4F"/>
    <w:rsid w:val="00165D47"/>
    <w:rsid w:val="001661F7"/>
    <w:rsid w:val="0016659E"/>
    <w:rsid w:val="00166B74"/>
    <w:rsid w:val="00171614"/>
    <w:rsid w:val="00172032"/>
    <w:rsid w:val="001734D6"/>
    <w:rsid w:val="00173EA3"/>
    <w:rsid w:val="0017479D"/>
    <w:rsid w:val="00174FA7"/>
    <w:rsid w:val="00176163"/>
    <w:rsid w:val="00176222"/>
    <w:rsid w:val="00176C4C"/>
    <w:rsid w:val="00180C41"/>
    <w:rsid w:val="00180D32"/>
    <w:rsid w:val="00180E41"/>
    <w:rsid w:val="00182C4C"/>
    <w:rsid w:val="00184CC1"/>
    <w:rsid w:val="00185C4B"/>
    <w:rsid w:val="00186AF9"/>
    <w:rsid w:val="00186BD1"/>
    <w:rsid w:val="00187C2A"/>
    <w:rsid w:val="00192139"/>
    <w:rsid w:val="00192840"/>
    <w:rsid w:val="00192BBD"/>
    <w:rsid w:val="001943FC"/>
    <w:rsid w:val="00194665"/>
    <w:rsid w:val="00194EBB"/>
    <w:rsid w:val="00194F11"/>
    <w:rsid w:val="001951DD"/>
    <w:rsid w:val="00195254"/>
    <w:rsid w:val="001970F8"/>
    <w:rsid w:val="00197D8D"/>
    <w:rsid w:val="001A0220"/>
    <w:rsid w:val="001A0621"/>
    <w:rsid w:val="001A1A75"/>
    <w:rsid w:val="001A1D09"/>
    <w:rsid w:val="001A23A5"/>
    <w:rsid w:val="001A2F48"/>
    <w:rsid w:val="001A399A"/>
    <w:rsid w:val="001A5995"/>
    <w:rsid w:val="001A743B"/>
    <w:rsid w:val="001A7E9A"/>
    <w:rsid w:val="001B0174"/>
    <w:rsid w:val="001B0449"/>
    <w:rsid w:val="001B25AB"/>
    <w:rsid w:val="001B317F"/>
    <w:rsid w:val="001B3D20"/>
    <w:rsid w:val="001B4954"/>
    <w:rsid w:val="001B4E55"/>
    <w:rsid w:val="001B5063"/>
    <w:rsid w:val="001B53E5"/>
    <w:rsid w:val="001B5652"/>
    <w:rsid w:val="001C0B4E"/>
    <w:rsid w:val="001C0DA5"/>
    <w:rsid w:val="001C13C5"/>
    <w:rsid w:val="001C19CE"/>
    <w:rsid w:val="001C1BA4"/>
    <w:rsid w:val="001C2483"/>
    <w:rsid w:val="001C27A3"/>
    <w:rsid w:val="001C282C"/>
    <w:rsid w:val="001C2A46"/>
    <w:rsid w:val="001C3B0F"/>
    <w:rsid w:val="001C3D2F"/>
    <w:rsid w:val="001C3D5F"/>
    <w:rsid w:val="001C3E8A"/>
    <w:rsid w:val="001C4F6B"/>
    <w:rsid w:val="001C50D9"/>
    <w:rsid w:val="001C5295"/>
    <w:rsid w:val="001C5603"/>
    <w:rsid w:val="001C6212"/>
    <w:rsid w:val="001C6C34"/>
    <w:rsid w:val="001C6E98"/>
    <w:rsid w:val="001C7E81"/>
    <w:rsid w:val="001D01F0"/>
    <w:rsid w:val="001D05CC"/>
    <w:rsid w:val="001D115E"/>
    <w:rsid w:val="001D19D5"/>
    <w:rsid w:val="001D1C37"/>
    <w:rsid w:val="001D207A"/>
    <w:rsid w:val="001D23FB"/>
    <w:rsid w:val="001D356B"/>
    <w:rsid w:val="001D43BB"/>
    <w:rsid w:val="001D5FC5"/>
    <w:rsid w:val="001D6C05"/>
    <w:rsid w:val="001D729C"/>
    <w:rsid w:val="001D7456"/>
    <w:rsid w:val="001D776F"/>
    <w:rsid w:val="001E06E3"/>
    <w:rsid w:val="001E09FA"/>
    <w:rsid w:val="001E1B36"/>
    <w:rsid w:val="001E1CE6"/>
    <w:rsid w:val="001E3676"/>
    <w:rsid w:val="001E3F8F"/>
    <w:rsid w:val="001E4513"/>
    <w:rsid w:val="001E4996"/>
    <w:rsid w:val="001E5478"/>
    <w:rsid w:val="001E6C48"/>
    <w:rsid w:val="001F083F"/>
    <w:rsid w:val="001F0882"/>
    <w:rsid w:val="001F1201"/>
    <w:rsid w:val="001F5B9C"/>
    <w:rsid w:val="001F5D29"/>
    <w:rsid w:val="001F6652"/>
    <w:rsid w:val="001F6A3D"/>
    <w:rsid w:val="001F719F"/>
    <w:rsid w:val="001F74B2"/>
    <w:rsid w:val="001F7E80"/>
    <w:rsid w:val="00200B8E"/>
    <w:rsid w:val="00201C4D"/>
    <w:rsid w:val="00202711"/>
    <w:rsid w:val="00202C23"/>
    <w:rsid w:val="002032C5"/>
    <w:rsid w:val="002033BE"/>
    <w:rsid w:val="00203540"/>
    <w:rsid w:val="00203AF8"/>
    <w:rsid w:val="00203E62"/>
    <w:rsid w:val="00203FB8"/>
    <w:rsid w:val="00204F5A"/>
    <w:rsid w:val="00205B02"/>
    <w:rsid w:val="00206908"/>
    <w:rsid w:val="002103DB"/>
    <w:rsid w:val="0021135A"/>
    <w:rsid w:val="0021162C"/>
    <w:rsid w:val="002121AA"/>
    <w:rsid w:val="00212440"/>
    <w:rsid w:val="002127D3"/>
    <w:rsid w:val="002129E1"/>
    <w:rsid w:val="002134D8"/>
    <w:rsid w:val="0021363F"/>
    <w:rsid w:val="0021424A"/>
    <w:rsid w:val="00216358"/>
    <w:rsid w:val="00216613"/>
    <w:rsid w:val="002170D3"/>
    <w:rsid w:val="002202A9"/>
    <w:rsid w:val="00220ACA"/>
    <w:rsid w:val="00221775"/>
    <w:rsid w:val="00221CFA"/>
    <w:rsid w:val="00221D07"/>
    <w:rsid w:val="00223471"/>
    <w:rsid w:val="002238D7"/>
    <w:rsid w:val="00224492"/>
    <w:rsid w:val="00224BC4"/>
    <w:rsid w:val="00226F2E"/>
    <w:rsid w:val="00227E4A"/>
    <w:rsid w:val="00230439"/>
    <w:rsid w:val="0023140E"/>
    <w:rsid w:val="00232211"/>
    <w:rsid w:val="002324B9"/>
    <w:rsid w:val="0023276D"/>
    <w:rsid w:val="002329FC"/>
    <w:rsid w:val="00233DD5"/>
    <w:rsid w:val="00235420"/>
    <w:rsid w:val="00235AE4"/>
    <w:rsid w:val="0023671B"/>
    <w:rsid w:val="0023683A"/>
    <w:rsid w:val="00236EA4"/>
    <w:rsid w:val="00237551"/>
    <w:rsid w:val="00240110"/>
    <w:rsid w:val="00241786"/>
    <w:rsid w:val="002419D1"/>
    <w:rsid w:val="002432EE"/>
    <w:rsid w:val="00244432"/>
    <w:rsid w:val="0024582E"/>
    <w:rsid w:val="0024676A"/>
    <w:rsid w:val="00246866"/>
    <w:rsid w:val="00246DC6"/>
    <w:rsid w:val="00247005"/>
    <w:rsid w:val="0025053F"/>
    <w:rsid w:val="00251663"/>
    <w:rsid w:val="00253789"/>
    <w:rsid w:val="002547EF"/>
    <w:rsid w:val="0025610A"/>
    <w:rsid w:val="00256D65"/>
    <w:rsid w:val="00260C11"/>
    <w:rsid w:val="00261892"/>
    <w:rsid w:val="00261D4C"/>
    <w:rsid w:val="0026285E"/>
    <w:rsid w:val="00262AE4"/>
    <w:rsid w:val="00263E81"/>
    <w:rsid w:val="00263FE5"/>
    <w:rsid w:val="00264763"/>
    <w:rsid w:val="00265939"/>
    <w:rsid w:val="0026595C"/>
    <w:rsid w:val="00266F69"/>
    <w:rsid w:val="0026717A"/>
    <w:rsid w:val="0026778C"/>
    <w:rsid w:val="00270DB9"/>
    <w:rsid w:val="00271F00"/>
    <w:rsid w:val="002727B7"/>
    <w:rsid w:val="0027369B"/>
    <w:rsid w:val="00273A80"/>
    <w:rsid w:val="0027513D"/>
    <w:rsid w:val="00275289"/>
    <w:rsid w:val="00276026"/>
    <w:rsid w:val="00280A0E"/>
    <w:rsid w:val="002810FB"/>
    <w:rsid w:val="00281ABF"/>
    <w:rsid w:val="00281C7E"/>
    <w:rsid w:val="0028290C"/>
    <w:rsid w:val="002832B4"/>
    <w:rsid w:val="00283F48"/>
    <w:rsid w:val="00283F97"/>
    <w:rsid w:val="00284D0A"/>
    <w:rsid w:val="002851C8"/>
    <w:rsid w:val="0028531D"/>
    <w:rsid w:val="00285CEC"/>
    <w:rsid w:val="00285D97"/>
    <w:rsid w:val="00286598"/>
    <w:rsid w:val="0029204E"/>
    <w:rsid w:val="0029236B"/>
    <w:rsid w:val="00293295"/>
    <w:rsid w:val="00293521"/>
    <w:rsid w:val="00293CDD"/>
    <w:rsid w:val="00294568"/>
    <w:rsid w:val="00294BAD"/>
    <w:rsid w:val="00294E29"/>
    <w:rsid w:val="002955DF"/>
    <w:rsid w:val="00295F53"/>
    <w:rsid w:val="0029631C"/>
    <w:rsid w:val="002966A4"/>
    <w:rsid w:val="002A009F"/>
    <w:rsid w:val="002A0194"/>
    <w:rsid w:val="002A03F5"/>
    <w:rsid w:val="002A0BBC"/>
    <w:rsid w:val="002A0CD0"/>
    <w:rsid w:val="002A3499"/>
    <w:rsid w:val="002A3629"/>
    <w:rsid w:val="002A3DDF"/>
    <w:rsid w:val="002A44F6"/>
    <w:rsid w:val="002A4E09"/>
    <w:rsid w:val="002A4F9E"/>
    <w:rsid w:val="002A586C"/>
    <w:rsid w:val="002A5F8B"/>
    <w:rsid w:val="002A66F7"/>
    <w:rsid w:val="002A7F6C"/>
    <w:rsid w:val="002B07FA"/>
    <w:rsid w:val="002B0D8E"/>
    <w:rsid w:val="002B118F"/>
    <w:rsid w:val="002B3509"/>
    <w:rsid w:val="002B353B"/>
    <w:rsid w:val="002B50D4"/>
    <w:rsid w:val="002B5544"/>
    <w:rsid w:val="002B6A4E"/>
    <w:rsid w:val="002B6FB6"/>
    <w:rsid w:val="002C1F3B"/>
    <w:rsid w:val="002C1FD7"/>
    <w:rsid w:val="002C2850"/>
    <w:rsid w:val="002C2F8F"/>
    <w:rsid w:val="002C3CCA"/>
    <w:rsid w:val="002C4A91"/>
    <w:rsid w:val="002C4FAF"/>
    <w:rsid w:val="002C6FDF"/>
    <w:rsid w:val="002D0DC5"/>
    <w:rsid w:val="002D14AB"/>
    <w:rsid w:val="002D1A2C"/>
    <w:rsid w:val="002D464B"/>
    <w:rsid w:val="002D6809"/>
    <w:rsid w:val="002D74E2"/>
    <w:rsid w:val="002D7FDC"/>
    <w:rsid w:val="002E042A"/>
    <w:rsid w:val="002E086A"/>
    <w:rsid w:val="002E09C6"/>
    <w:rsid w:val="002E30DB"/>
    <w:rsid w:val="002E4A7E"/>
    <w:rsid w:val="002E5834"/>
    <w:rsid w:val="002E6687"/>
    <w:rsid w:val="002E6C56"/>
    <w:rsid w:val="002E6FB2"/>
    <w:rsid w:val="002F1321"/>
    <w:rsid w:val="002F1FE6"/>
    <w:rsid w:val="002F39EF"/>
    <w:rsid w:val="002F6488"/>
    <w:rsid w:val="0030001E"/>
    <w:rsid w:val="0030118B"/>
    <w:rsid w:val="00302287"/>
    <w:rsid w:val="0030279C"/>
    <w:rsid w:val="0030451A"/>
    <w:rsid w:val="003046E5"/>
    <w:rsid w:val="0030604E"/>
    <w:rsid w:val="003062E0"/>
    <w:rsid w:val="00306384"/>
    <w:rsid w:val="00306AD4"/>
    <w:rsid w:val="00306AEC"/>
    <w:rsid w:val="00310E84"/>
    <w:rsid w:val="003119B2"/>
    <w:rsid w:val="003120E8"/>
    <w:rsid w:val="00312D1C"/>
    <w:rsid w:val="00313F76"/>
    <w:rsid w:val="00315A71"/>
    <w:rsid w:val="003162CA"/>
    <w:rsid w:val="00317008"/>
    <w:rsid w:val="003200CF"/>
    <w:rsid w:val="003201A1"/>
    <w:rsid w:val="00320EFF"/>
    <w:rsid w:val="003213F9"/>
    <w:rsid w:val="003218BB"/>
    <w:rsid w:val="00322682"/>
    <w:rsid w:val="003235DF"/>
    <w:rsid w:val="00323DBF"/>
    <w:rsid w:val="0032410F"/>
    <w:rsid w:val="00324B9C"/>
    <w:rsid w:val="00324E48"/>
    <w:rsid w:val="00326619"/>
    <w:rsid w:val="00326718"/>
    <w:rsid w:val="003268C0"/>
    <w:rsid w:val="003269E5"/>
    <w:rsid w:val="00327974"/>
    <w:rsid w:val="003309A8"/>
    <w:rsid w:val="00330DAC"/>
    <w:rsid w:val="00331C21"/>
    <w:rsid w:val="00331D41"/>
    <w:rsid w:val="00331EFA"/>
    <w:rsid w:val="003321A8"/>
    <w:rsid w:val="00332629"/>
    <w:rsid w:val="00332B12"/>
    <w:rsid w:val="0033470E"/>
    <w:rsid w:val="00335982"/>
    <w:rsid w:val="0033625B"/>
    <w:rsid w:val="00336711"/>
    <w:rsid w:val="003428EA"/>
    <w:rsid w:val="003441BD"/>
    <w:rsid w:val="0034500C"/>
    <w:rsid w:val="0034758C"/>
    <w:rsid w:val="00347935"/>
    <w:rsid w:val="00350DBD"/>
    <w:rsid w:val="003510EF"/>
    <w:rsid w:val="00351927"/>
    <w:rsid w:val="00351B07"/>
    <w:rsid w:val="003521C2"/>
    <w:rsid w:val="00352771"/>
    <w:rsid w:val="00352B1D"/>
    <w:rsid w:val="003531E9"/>
    <w:rsid w:val="003542AE"/>
    <w:rsid w:val="00354E83"/>
    <w:rsid w:val="00356FB8"/>
    <w:rsid w:val="003576B1"/>
    <w:rsid w:val="003600ED"/>
    <w:rsid w:val="003604AF"/>
    <w:rsid w:val="00360BE8"/>
    <w:rsid w:val="00360F21"/>
    <w:rsid w:val="0036268A"/>
    <w:rsid w:val="00364510"/>
    <w:rsid w:val="00364841"/>
    <w:rsid w:val="00365355"/>
    <w:rsid w:val="00365C51"/>
    <w:rsid w:val="003666D4"/>
    <w:rsid w:val="0036686F"/>
    <w:rsid w:val="00366C38"/>
    <w:rsid w:val="00367EBE"/>
    <w:rsid w:val="00367FE4"/>
    <w:rsid w:val="00370445"/>
    <w:rsid w:val="00370F3D"/>
    <w:rsid w:val="00371455"/>
    <w:rsid w:val="00371543"/>
    <w:rsid w:val="00371B29"/>
    <w:rsid w:val="00372182"/>
    <w:rsid w:val="0037520F"/>
    <w:rsid w:val="00376B11"/>
    <w:rsid w:val="003800E2"/>
    <w:rsid w:val="00382199"/>
    <w:rsid w:val="003828A6"/>
    <w:rsid w:val="003829A6"/>
    <w:rsid w:val="00384702"/>
    <w:rsid w:val="00384C1E"/>
    <w:rsid w:val="003852D4"/>
    <w:rsid w:val="00385BC2"/>
    <w:rsid w:val="00385DCA"/>
    <w:rsid w:val="00387258"/>
    <w:rsid w:val="00387587"/>
    <w:rsid w:val="00387F2A"/>
    <w:rsid w:val="0039072F"/>
    <w:rsid w:val="00391769"/>
    <w:rsid w:val="00391B1B"/>
    <w:rsid w:val="00392B69"/>
    <w:rsid w:val="003930D6"/>
    <w:rsid w:val="003953E1"/>
    <w:rsid w:val="003956B3"/>
    <w:rsid w:val="00395F38"/>
    <w:rsid w:val="00397733"/>
    <w:rsid w:val="00397F46"/>
    <w:rsid w:val="003A0959"/>
    <w:rsid w:val="003A36C6"/>
    <w:rsid w:val="003A598D"/>
    <w:rsid w:val="003A67B8"/>
    <w:rsid w:val="003A68BE"/>
    <w:rsid w:val="003A6913"/>
    <w:rsid w:val="003A6CE1"/>
    <w:rsid w:val="003A75FA"/>
    <w:rsid w:val="003A7725"/>
    <w:rsid w:val="003B250F"/>
    <w:rsid w:val="003B3BE2"/>
    <w:rsid w:val="003B3C9D"/>
    <w:rsid w:val="003B47DB"/>
    <w:rsid w:val="003B5AC6"/>
    <w:rsid w:val="003B5BC5"/>
    <w:rsid w:val="003B622C"/>
    <w:rsid w:val="003B63CB"/>
    <w:rsid w:val="003B652F"/>
    <w:rsid w:val="003B78E0"/>
    <w:rsid w:val="003B7DAB"/>
    <w:rsid w:val="003C0F5E"/>
    <w:rsid w:val="003C1A86"/>
    <w:rsid w:val="003C205C"/>
    <w:rsid w:val="003C2B9A"/>
    <w:rsid w:val="003C2F1D"/>
    <w:rsid w:val="003C3853"/>
    <w:rsid w:val="003C3E79"/>
    <w:rsid w:val="003C4262"/>
    <w:rsid w:val="003C45B5"/>
    <w:rsid w:val="003C48F0"/>
    <w:rsid w:val="003C4969"/>
    <w:rsid w:val="003C5089"/>
    <w:rsid w:val="003C610E"/>
    <w:rsid w:val="003C6FAC"/>
    <w:rsid w:val="003C7A1B"/>
    <w:rsid w:val="003D1710"/>
    <w:rsid w:val="003D1755"/>
    <w:rsid w:val="003D26D8"/>
    <w:rsid w:val="003D388E"/>
    <w:rsid w:val="003D46D9"/>
    <w:rsid w:val="003D5CC4"/>
    <w:rsid w:val="003D6524"/>
    <w:rsid w:val="003D6E3A"/>
    <w:rsid w:val="003D6EE3"/>
    <w:rsid w:val="003E1BAB"/>
    <w:rsid w:val="003E2A20"/>
    <w:rsid w:val="003E3392"/>
    <w:rsid w:val="003E41D5"/>
    <w:rsid w:val="003E46BA"/>
    <w:rsid w:val="003E49C3"/>
    <w:rsid w:val="003E4BF4"/>
    <w:rsid w:val="003E7D22"/>
    <w:rsid w:val="003F0D52"/>
    <w:rsid w:val="003F2261"/>
    <w:rsid w:val="003F2439"/>
    <w:rsid w:val="003F294F"/>
    <w:rsid w:val="003F29C5"/>
    <w:rsid w:val="003F3351"/>
    <w:rsid w:val="003F4065"/>
    <w:rsid w:val="003F4DC2"/>
    <w:rsid w:val="003F5A76"/>
    <w:rsid w:val="003F6586"/>
    <w:rsid w:val="003F74C1"/>
    <w:rsid w:val="004001B6"/>
    <w:rsid w:val="00401332"/>
    <w:rsid w:val="00401D99"/>
    <w:rsid w:val="00404C6F"/>
    <w:rsid w:val="00405B1A"/>
    <w:rsid w:val="00407241"/>
    <w:rsid w:val="004073C2"/>
    <w:rsid w:val="0040761E"/>
    <w:rsid w:val="00407DF4"/>
    <w:rsid w:val="00410C76"/>
    <w:rsid w:val="00411758"/>
    <w:rsid w:val="00411907"/>
    <w:rsid w:val="00412230"/>
    <w:rsid w:val="00412F44"/>
    <w:rsid w:val="00413CA8"/>
    <w:rsid w:val="00414DD0"/>
    <w:rsid w:val="0041515E"/>
    <w:rsid w:val="00416489"/>
    <w:rsid w:val="004169D2"/>
    <w:rsid w:val="0041745B"/>
    <w:rsid w:val="00417D08"/>
    <w:rsid w:val="00417EE3"/>
    <w:rsid w:val="004207EB"/>
    <w:rsid w:val="00420F9B"/>
    <w:rsid w:val="00420FA6"/>
    <w:rsid w:val="00421B39"/>
    <w:rsid w:val="00422173"/>
    <w:rsid w:val="00422AA1"/>
    <w:rsid w:val="00422B75"/>
    <w:rsid w:val="00422E6A"/>
    <w:rsid w:val="004239F8"/>
    <w:rsid w:val="00423C4D"/>
    <w:rsid w:val="00423E7C"/>
    <w:rsid w:val="0042505F"/>
    <w:rsid w:val="004253B6"/>
    <w:rsid w:val="00426611"/>
    <w:rsid w:val="004274DB"/>
    <w:rsid w:val="00430B75"/>
    <w:rsid w:val="004315EE"/>
    <w:rsid w:val="00431BD1"/>
    <w:rsid w:val="00432684"/>
    <w:rsid w:val="00432C33"/>
    <w:rsid w:val="0043346A"/>
    <w:rsid w:val="00433935"/>
    <w:rsid w:val="00433D61"/>
    <w:rsid w:val="00433DFA"/>
    <w:rsid w:val="0043466F"/>
    <w:rsid w:val="00435FA5"/>
    <w:rsid w:val="00436B8D"/>
    <w:rsid w:val="00436E4F"/>
    <w:rsid w:val="00437276"/>
    <w:rsid w:val="00437613"/>
    <w:rsid w:val="00437F49"/>
    <w:rsid w:val="00440837"/>
    <w:rsid w:val="00442CD5"/>
    <w:rsid w:val="004431B5"/>
    <w:rsid w:val="00444E59"/>
    <w:rsid w:val="0044510A"/>
    <w:rsid w:val="0044629C"/>
    <w:rsid w:val="00446573"/>
    <w:rsid w:val="00446A06"/>
    <w:rsid w:val="00446C3D"/>
    <w:rsid w:val="00446CF3"/>
    <w:rsid w:val="004474CF"/>
    <w:rsid w:val="00447619"/>
    <w:rsid w:val="00447E67"/>
    <w:rsid w:val="004502AE"/>
    <w:rsid w:val="00451070"/>
    <w:rsid w:val="00452F2D"/>
    <w:rsid w:val="00452F96"/>
    <w:rsid w:val="00453781"/>
    <w:rsid w:val="0045556F"/>
    <w:rsid w:val="0045560B"/>
    <w:rsid w:val="004563B0"/>
    <w:rsid w:val="00456B54"/>
    <w:rsid w:val="00456E0C"/>
    <w:rsid w:val="00462306"/>
    <w:rsid w:val="00464643"/>
    <w:rsid w:val="004646F8"/>
    <w:rsid w:val="00465E78"/>
    <w:rsid w:val="00466235"/>
    <w:rsid w:val="00467152"/>
    <w:rsid w:val="00467954"/>
    <w:rsid w:val="00470AE0"/>
    <w:rsid w:val="004712D1"/>
    <w:rsid w:val="00471DC4"/>
    <w:rsid w:val="00472270"/>
    <w:rsid w:val="004726ED"/>
    <w:rsid w:val="00473DAA"/>
    <w:rsid w:val="004741F3"/>
    <w:rsid w:val="00474E57"/>
    <w:rsid w:val="00475844"/>
    <w:rsid w:val="004768CB"/>
    <w:rsid w:val="00476EAB"/>
    <w:rsid w:val="00477020"/>
    <w:rsid w:val="00477AFA"/>
    <w:rsid w:val="00480FEE"/>
    <w:rsid w:val="004816B0"/>
    <w:rsid w:val="00482203"/>
    <w:rsid w:val="00483E80"/>
    <w:rsid w:val="00484C3A"/>
    <w:rsid w:val="00485C99"/>
    <w:rsid w:val="0048647B"/>
    <w:rsid w:val="0048672F"/>
    <w:rsid w:val="00486793"/>
    <w:rsid w:val="0048691E"/>
    <w:rsid w:val="00487587"/>
    <w:rsid w:val="00487979"/>
    <w:rsid w:val="00487BB2"/>
    <w:rsid w:val="00487DDA"/>
    <w:rsid w:val="004911E2"/>
    <w:rsid w:val="0049187B"/>
    <w:rsid w:val="004939C2"/>
    <w:rsid w:val="004962B4"/>
    <w:rsid w:val="004965F2"/>
    <w:rsid w:val="004970A8"/>
    <w:rsid w:val="0049729B"/>
    <w:rsid w:val="004A08A7"/>
    <w:rsid w:val="004A0972"/>
    <w:rsid w:val="004A1748"/>
    <w:rsid w:val="004A2037"/>
    <w:rsid w:val="004A3685"/>
    <w:rsid w:val="004A47F9"/>
    <w:rsid w:val="004A75C8"/>
    <w:rsid w:val="004B042D"/>
    <w:rsid w:val="004B39CD"/>
    <w:rsid w:val="004B4689"/>
    <w:rsid w:val="004B5646"/>
    <w:rsid w:val="004B5745"/>
    <w:rsid w:val="004B5C60"/>
    <w:rsid w:val="004B786A"/>
    <w:rsid w:val="004B78B9"/>
    <w:rsid w:val="004B7B3D"/>
    <w:rsid w:val="004C070C"/>
    <w:rsid w:val="004C1F3E"/>
    <w:rsid w:val="004C2CE7"/>
    <w:rsid w:val="004C3000"/>
    <w:rsid w:val="004C3510"/>
    <w:rsid w:val="004C3737"/>
    <w:rsid w:val="004C39BA"/>
    <w:rsid w:val="004C4544"/>
    <w:rsid w:val="004C5284"/>
    <w:rsid w:val="004C5CB2"/>
    <w:rsid w:val="004C6A1E"/>
    <w:rsid w:val="004D1431"/>
    <w:rsid w:val="004D15D8"/>
    <w:rsid w:val="004D258F"/>
    <w:rsid w:val="004D29B5"/>
    <w:rsid w:val="004D30A6"/>
    <w:rsid w:val="004D3878"/>
    <w:rsid w:val="004D41F4"/>
    <w:rsid w:val="004D4A3B"/>
    <w:rsid w:val="004D5873"/>
    <w:rsid w:val="004D6BBF"/>
    <w:rsid w:val="004D7C43"/>
    <w:rsid w:val="004E1280"/>
    <w:rsid w:val="004E135A"/>
    <w:rsid w:val="004E17C3"/>
    <w:rsid w:val="004E2868"/>
    <w:rsid w:val="004E3FC4"/>
    <w:rsid w:val="004E4FB0"/>
    <w:rsid w:val="004E6FAD"/>
    <w:rsid w:val="004E764B"/>
    <w:rsid w:val="004E780E"/>
    <w:rsid w:val="004F02DB"/>
    <w:rsid w:val="004F0C6E"/>
    <w:rsid w:val="004F37EC"/>
    <w:rsid w:val="004F4294"/>
    <w:rsid w:val="004F4F98"/>
    <w:rsid w:val="004F510D"/>
    <w:rsid w:val="004F69F6"/>
    <w:rsid w:val="004F6B1E"/>
    <w:rsid w:val="004F6EE9"/>
    <w:rsid w:val="004F79AC"/>
    <w:rsid w:val="004F7D90"/>
    <w:rsid w:val="005013F7"/>
    <w:rsid w:val="005017CF"/>
    <w:rsid w:val="00503372"/>
    <w:rsid w:val="0050386B"/>
    <w:rsid w:val="00503BEA"/>
    <w:rsid w:val="00504188"/>
    <w:rsid w:val="00504C32"/>
    <w:rsid w:val="005064EE"/>
    <w:rsid w:val="00506745"/>
    <w:rsid w:val="00507441"/>
    <w:rsid w:val="00507DE3"/>
    <w:rsid w:val="00512290"/>
    <w:rsid w:val="005122AC"/>
    <w:rsid w:val="00512965"/>
    <w:rsid w:val="00514F34"/>
    <w:rsid w:val="00515523"/>
    <w:rsid w:val="00515AA0"/>
    <w:rsid w:val="00515F9A"/>
    <w:rsid w:val="005170BB"/>
    <w:rsid w:val="00517ED4"/>
    <w:rsid w:val="005207D8"/>
    <w:rsid w:val="00521F14"/>
    <w:rsid w:val="00521F70"/>
    <w:rsid w:val="00522E34"/>
    <w:rsid w:val="0052545E"/>
    <w:rsid w:val="00525C38"/>
    <w:rsid w:val="00526104"/>
    <w:rsid w:val="00526486"/>
    <w:rsid w:val="0052649E"/>
    <w:rsid w:val="00526732"/>
    <w:rsid w:val="005267E7"/>
    <w:rsid w:val="00527D7A"/>
    <w:rsid w:val="00527FFD"/>
    <w:rsid w:val="005303C6"/>
    <w:rsid w:val="00530503"/>
    <w:rsid w:val="0053191E"/>
    <w:rsid w:val="005319AB"/>
    <w:rsid w:val="0053208E"/>
    <w:rsid w:val="00532341"/>
    <w:rsid w:val="0053464E"/>
    <w:rsid w:val="00534873"/>
    <w:rsid w:val="005358B0"/>
    <w:rsid w:val="00535B7E"/>
    <w:rsid w:val="00535E88"/>
    <w:rsid w:val="00535F9A"/>
    <w:rsid w:val="0054047C"/>
    <w:rsid w:val="00540F0B"/>
    <w:rsid w:val="005440CC"/>
    <w:rsid w:val="005443FA"/>
    <w:rsid w:val="00544B32"/>
    <w:rsid w:val="00544E23"/>
    <w:rsid w:val="005450CE"/>
    <w:rsid w:val="0055084B"/>
    <w:rsid w:val="00551463"/>
    <w:rsid w:val="00553969"/>
    <w:rsid w:val="005566B1"/>
    <w:rsid w:val="00556ECD"/>
    <w:rsid w:val="00556FD0"/>
    <w:rsid w:val="0055743D"/>
    <w:rsid w:val="00562819"/>
    <w:rsid w:val="00562917"/>
    <w:rsid w:val="00562B0D"/>
    <w:rsid w:val="00565461"/>
    <w:rsid w:val="005654C7"/>
    <w:rsid w:val="00565558"/>
    <w:rsid w:val="005671F8"/>
    <w:rsid w:val="00567460"/>
    <w:rsid w:val="00567635"/>
    <w:rsid w:val="00567B17"/>
    <w:rsid w:val="00574543"/>
    <w:rsid w:val="00575659"/>
    <w:rsid w:val="00577669"/>
    <w:rsid w:val="00577D94"/>
    <w:rsid w:val="00580374"/>
    <w:rsid w:val="005812BB"/>
    <w:rsid w:val="00581FEA"/>
    <w:rsid w:val="0058281C"/>
    <w:rsid w:val="00583CC3"/>
    <w:rsid w:val="00584B90"/>
    <w:rsid w:val="00585963"/>
    <w:rsid w:val="00586228"/>
    <w:rsid w:val="0058654C"/>
    <w:rsid w:val="0059227F"/>
    <w:rsid w:val="00592B0C"/>
    <w:rsid w:val="005936EC"/>
    <w:rsid w:val="00593F5B"/>
    <w:rsid w:val="0059498B"/>
    <w:rsid w:val="005949D8"/>
    <w:rsid w:val="00596005"/>
    <w:rsid w:val="0059653B"/>
    <w:rsid w:val="00596724"/>
    <w:rsid w:val="00596972"/>
    <w:rsid w:val="0059791D"/>
    <w:rsid w:val="005A0581"/>
    <w:rsid w:val="005A17D8"/>
    <w:rsid w:val="005A20E6"/>
    <w:rsid w:val="005A3A03"/>
    <w:rsid w:val="005A3B96"/>
    <w:rsid w:val="005A5661"/>
    <w:rsid w:val="005A72DD"/>
    <w:rsid w:val="005B01E7"/>
    <w:rsid w:val="005B13B4"/>
    <w:rsid w:val="005B2ACD"/>
    <w:rsid w:val="005B2C50"/>
    <w:rsid w:val="005B4114"/>
    <w:rsid w:val="005B422E"/>
    <w:rsid w:val="005B592E"/>
    <w:rsid w:val="005B5CD3"/>
    <w:rsid w:val="005B615C"/>
    <w:rsid w:val="005B6AF4"/>
    <w:rsid w:val="005C022A"/>
    <w:rsid w:val="005C04CB"/>
    <w:rsid w:val="005C0808"/>
    <w:rsid w:val="005C0D6F"/>
    <w:rsid w:val="005C114F"/>
    <w:rsid w:val="005C160A"/>
    <w:rsid w:val="005C3FFB"/>
    <w:rsid w:val="005C407B"/>
    <w:rsid w:val="005C4798"/>
    <w:rsid w:val="005C5218"/>
    <w:rsid w:val="005C6210"/>
    <w:rsid w:val="005C62D8"/>
    <w:rsid w:val="005C6473"/>
    <w:rsid w:val="005C6497"/>
    <w:rsid w:val="005C71BA"/>
    <w:rsid w:val="005D02D4"/>
    <w:rsid w:val="005D057E"/>
    <w:rsid w:val="005D16AD"/>
    <w:rsid w:val="005D1C8D"/>
    <w:rsid w:val="005D41A1"/>
    <w:rsid w:val="005D538B"/>
    <w:rsid w:val="005D72E1"/>
    <w:rsid w:val="005E0FFD"/>
    <w:rsid w:val="005E19AC"/>
    <w:rsid w:val="005E1CB3"/>
    <w:rsid w:val="005E2B45"/>
    <w:rsid w:val="005E2F53"/>
    <w:rsid w:val="005E3CCF"/>
    <w:rsid w:val="005E56BF"/>
    <w:rsid w:val="005E6E16"/>
    <w:rsid w:val="005F039A"/>
    <w:rsid w:val="005F0643"/>
    <w:rsid w:val="005F2D6D"/>
    <w:rsid w:val="005F400E"/>
    <w:rsid w:val="005F43C3"/>
    <w:rsid w:val="005F4A53"/>
    <w:rsid w:val="005F6A0F"/>
    <w:rsid w:val="005F7342"/>
    <w:rsid w:val="005F7D81"/>
    <w:rsid w:val="0060016F"/>
    <w:rsid w:val="0060021C"/>
    <w:rsid w:val="006010D7"/>
    <w:rsid w:val="00602171"/>
    <w:rsid w:val="00603A08"/>
    <w:rsid w:val="0060574D"/>
    <w:rsid w:val="00605FA2"/>
    <w:rsid w:val="006066BC"/>
    <w:rsid w:val="0060676F"/>
    <w:rsid w:val="00606865"/>
    <w:rsid w:val="0060697A"/>
    <w:rsid w:val="00606C88"/>
    <w:rsid w:val="00606D7B"/>
    <w:rsid w:val="00606ECF"/>
    <w:rsid w:val="00607E8C"/>
    <w:rsid w:val="006102A8"/>
    <w:rsid w:val="00610A3C"/>
    <w:rsid w:val="00611433"/>
    <w:rsid w:val="00612687"/>
    <w:rsid w:val="00612D92"/>
    <w:rsid w:val="006141B3"/>
    <w:rsid w:val="00614CB6"/>
    <w:rsid w:val="00615A08"/>
    <w:rsid w:val="006161A6"/>
    <w:rsid w:val="006169E4"/>
    <w:rsid w:val="006173C5"/>
    <w:rsid w:val="00617D7B"/>
    <w:rsid w:val="00620695"/>
    <w:rsid w:val="00620EF8"/>
    <w:rsid w:val="006211CD"/>
    <w:rsid w:val="00621863"/>
    <w:rsid w:val="00621F3E"/>
    <w:rsid w:val="0062227C"/>
    <w:rsid w:val="00623B7C"/>
    <w:rsid w:val="00623E09"/>
    <w:rsid w:val="00623FA6"/>
    <w:rsid w:val="00623FDD"/>
    <w:rsid w:val="006253BE"/>
    <w:rsid w:val="00625D9E"/>
    <w:rsid w:val="006263C4"/>
    <w:rsid w:val="00626E3F"/>
    <w:rsid w:val="00627F48"/>
    <w:rsid w:val="00631418"/>
    <w:rsid w:val="00631E6B"/>
    <w:rsid w:val="00633ACA"/>
    <w:rsid w:val="0063419B"/>
    <w:rsid w:val="006342E0"/>
    <w:rsid w:val="006349DA"/>
    <w:rsid w:val="00634B2F"/>
    <w:rsid w:val="0063527C"/>
    <w:rsid w:val="00636170"/>
    <w:rsid w:val="006361EE"/>
    <w:rsid w:val="006362E0"/>
    <w:rsid w:val="00637D93"/>
    <w:rsid w:val="00640274"/>
    <w:rsid w:val="00640FC7"/>
    <w:rsid w:val="00642258"/>
    <w:rsid w:val="00642A47"/>
    <w:rsid w:val="006435CF"/>
    <w:rsid w:val="006438A8"/>
    <w:rsid w:val="0064459E"/>
    <w:rsid w:val="00646704"/>
    <w:rsid w:val="00646FDD"/>
    <w:rsid w:val="00647030"/>
    <w:rsid w:val="00647079"/>
    <w:rsid w:val="00647DB8"/>
    <w:rsid w:val="00650A2C"/>
    <w:rsid w:val="00652742"/>
    <w:rsid w:val="00654147"/>
    <w:rsid w:val="006552B5"/>
    <w:rsid w:val="00655919"/>
    <w:rsid w:val="00656B4B"/>
    <w:rsid w:val="00660474"/>
    <w:rsid w:val="0066056D"/>
    <w:rsid w:val="00661337"/>
    <w:rsid w:val="00661462"/>
    <w:rsid w:val="00661949"/>
    <w:rsid w:val="00663080"/>
    <w:rsid w:val="006632CB"/>
    <w:rsid w:val="0066352F"/>
    <w:rsid w:val="00663FCF"/>
    <w:rsid w:val="00664296"/>
    <w:rsid w:val="006651D1"/>
    <w:rsid w:val="006652A2"/>
    <w:rsid w:val="0066570D"/>
    <w:rsid w:val="006664E3"/>
    <w:rsid w:val="00666591"/>
    <w:rsid w:val="006669B5"/>
    <w:rsid w:val="00666B77"/>
    <w:rsid w:val="00666B9B"/>
    <w:rsid w:val="00666D3F"/>
    <w:rsid w:val="00667503"/>
    <w:rsid w:val="0067057E"/>
    <w:rsid w:val="00670E69"/>
    <w:rsid w:val="00671932"/>
    <w:rsid w:val="00672023"/>
    <w:rsid w:val="0067305B"/>
    <w:rsid w:val="00675D8F"/>
    <w:rsid w:val="00677411"/>
    <w:rsid w:val="00677D29"/>
    <w:rsid w:val="0068048B"/>
    <w:rsid w:val="00681754"/>
    <w:rsid w:val="00681D14"/>
    <w:rsid w:val="00681D53"/>
    <w:rsid w:val="00683E69"/>
    <w:rsid w:val="00685269"/>
    <w:rsid w:val="00692955"/>
    <w:rsid w:val="0069352B"/>
    <w:rsid w:val="006937FF"/>
    <w:rsid w:val="006965BF"/>
    <w:rsid w:val="00696A14"/>
    <w:rsid w:val="00697597"/>
    <w:rsid w:val="006A126B"/>
    <w:rsid w:val="006A152C"/>
    <w:rsid w:val="006A1E43"/>
    <w:rsid w:val="006A2330"/>
    <w:rsid w:val="006A2422"/>
    <w:rsid w:val="006A350A"/>
    <w:rsid w:val="006A3C36"/>
    <w:rsid w:val="006A3FAB"/>
    <w:rsid w:val="006A48A7"/>
    <w:rsid w:val="006A6348"/>
    <w:rsid w:val="006A7717"/>
    <w:rsid w:val="006A7949"/>
    <w:rsid w:val="006B0A3B"/>
    <w:rsid w:val="006B11D5"/>
    <w:rsid w:val="006B1C5A"/>
    <w:rsid w:val="006B262C"/>
    <w:rsid w:val="006B3A44"/>
    <w:rsid w:val="006B3BD8"/>
    <w:rsid w:val="006B41CF"/>
    <w:rsid w:val="006B4816"/>
    <w:rsid w:val="006B4BA1"/>
    <w:rsid w:val="006B50AE"/>
    <w:rsid w:val="006B52C6"/>
    <w:rsid w:val="006B61F7"/>
    <w:rsid w:val="006B6E8F"/>
    <w:rsid w:val="006C28E2"/>
    <w:rsid w:val="006C2973"/>
    <w:rsid w:val="006C3CF6"/>
    <w:rsid w:val="006C5CF5"/>
    <w:rsid w:val="006C6CCA"/>
    <w:rsid w:val="006C728E"/>
    <w:rsid w:val="006D069B"/>
    <w:rsid w:val="006D0845"/>
    <w:rsid w:val="006D0AB6"/>
    <w:rsid w:val="006D339F"/>
    <w:rsid w:val="006D3C4A"/>
    <w:rsid w:val="006D4049"/>
    <w:rsid w:val="006D4A13"/>
    <w:rsid w:val="006D5BB3"/>
    <w:rsid w:val="006D5DBB"/>
    <w:rsid w:val="006D624B"/>
    <w:rsid w:val="006D6278"/>
    <w:rsid w:val="006D731A"/>
    <w:rsid w:val="006E0575"/>
    <w:rsid w:val="006E0A1B"/>
    <w:rsid w:val="006E11D3"/>
    <w:rsid w:val="006E1A14"/>
    <w:rsid w:val="006E527D"/>
    <w:rsid w:val="006E53B7"/>
    <w:rsid w:val="006E5EED"/>
    <w:rsid w:val="006E5FD1"/>
    <w:rsid w:val="006E6FBB"/>
    <w:rsid w:val="006E7326"/>
    <w:rsid w:val="006E7973"/>
    <w:rsid w:val="006F0198"/>
    <w:rsid w:val="006F17A0"/>
    <w:rsid w:val="006F1A5B"/>
    <w:rsid w:val="006F2968"/>
    <w:rsid w:val="006F2F7F"/>
    <w:rsid w:val="006F4A82"/>
    <w:rsid w:val="006F4DB6"/>
    <w:rsid w:val="006F6CE1"/>
    <w:rsid w:val="006F6E8F"/>
    <w:rsid w:val="006F7E0C"/>
    <w:rsid w:val="00700239"/>
    <w:rsid w:val="0070235B"/>
    <w:rsid w:val="00702889"/>
    <w:rsid w:val="0070373B"/>
    <w:rsid w:val="00703DBA"/>
    <w:rsid w:val="00704684"/>
    <w:rsid w:val="0070474C"/>
    <w:rsid w:val="00705A92"/>
    <w:rsid w:val="00705BDB"/>
    <w:rsid w:val="00707E72"/>
    <w:rsid w:val="00707FB6"/>
    <w:rsid w:val="007113EB"/>
    <w:rsid w:val="00711AE9"/>
    <w:rsid w:val="007147AB"/>
    <w:rsid w:val="00715BCE"/>
    <w:rsid w:val="0071673F"/>
    <w:rsid w:val="0072015A"/>
    <w:rsid w:val="0072074D"/>
    <w:rsid w:val="00720C38"/>
    <w:rsid w:val="0072150F"/>
    <w:rsid w:val="007228DC"/>
    <w:rsid w:val="0072292E"/>
    <w:rsid w:val="00723493"/>
    <w:rsid w:val="00723C03"/>
    <w:rsid w:val="00723F49"/>
    <w:rsid w:val="00724AE9"/>
    <w:rsid w:val="00724FA4"/>
    <w:rsid w:val="00726C2F"/>
    <w:rsid w:val="00726F90"/>
    <w:rsid w:val="00727D07"/>
    <w:rsid w:val="00730800"/>
    <w:rsid w:val="0073170A"/>
    <w:rsid w:val="0073338B"/>
    <w:rsid w:val="00734E51"/>
    <w:rsid w:val="00734EEE"/>
    <w:rsid w:val="007368AB"/>
    <w:rsid w:val="007368E0"/>
    <w:rsid w:val="00737447"/>
    <w:rsid w:val="007376B8"/>
    <w:rsid w:val="007378C0"/>
    <w:rsid w:val="00737902"/>
    <w:rsid w:val="00740221"/>
    <w:rsid w:val="007413D2"/>
    <w:rsid w:val="00741890"/>
    <w:rsid w:val="00741EFE"/>
    <w:rsid w:val="0074279F"/>
    <w:rsid w:val="00746B4F"/>
    <w:rsid w:val="00746C74"/>
    <w:rsid w:val="00746DC1"/>
    <w:rsid w:val="007473B4"/>
    <w:rsid w:val="00751D99"/>
    <w:rsid w:val="0075213F"/>
    <w:rsid w:val="007523FA"/>
    <w:rsid w:val="007526F7"/>
    <w:rsid w:val="0075407E"/>
    <w:rsid w:val="007545FA"/>
    <w:rsid w:val="0075561C"/>
    <w:rsid w:val="00756847"/>
    <w:rsid w:val="007573EB"/>
    <w:rsid w:val="007602AA"/>
    <w:rsid w:val="00760428"/>
    <w:rsid w:val="007620DC"/>
    <w:rsid w:val="0076234B"/>
    <w:rsid w:val="00762693"/>
    <w:rsid w:val="00762A61"/>
    <w:rsid w:val="00764870"/>
    <w:rsid w:val="00764D33"/>
    <w:rsid w:val="007652EF"/>
    <w:rsid w:val="007658FC"/>
    <w:rsid w:val="00765CE1"/>
    <w:rsid w:val="0076635C"/>
    <w:rsid w:val="00770EB3"/>
    <w:rsid w:val="00772BDC"/>
    <w:rsid w:val="00773033"/>
    <w:rsid w:val="00773D75"/>
    <w:rsid w:val="0077574E"/>
    <w:rsid w:val="00777093"/>
    <w:rsid w:val="00780250"/>
    <w:rsid w:val="007804B2"/>
    <w:rsid w:val="00780792"/>
    <w:rsid w:val="00782487"/>
    <w:rsid w:val="00783C00"/>
    <w:rsid w:val="00786F78"/>
    <w:rsid w:val="0079109A"/>
    <w:rsid w:val="00791293"/>
    <w:rsid w:val="0079221C"/>
    <w:rsid w:val="007922A7"/>
    <w:rsid w:val="00794D31"/>
    <w:rsid w:val="00795AC6"/>
    <w:rsid w:val="007A12C7"/>
    <w:rsid w:val="007A1874"/>
    <w:rsid w:val="007A1A57"/>
    <w:rsid w:val="007A25E1"/>
    <w:rsid w:val="007A27D5"/>
    <w:rsid w:val="007A295F"/>
    <w:rsid w:val="007A2BE6"/>
    <w:rsid w:val="007A44B4"/>
    <w:rsid w:val="007A4FC3"/>
    <w:rsid w:val="007A6B5E"/>
    <w:rsid w:val="007A7D3D"/>
    <w:rsid w:val="007B10EB"/>
    <w:rsid w:val="007B1DA3"/>
    <w:rsid w:val="007B221E"/>
    <w:rsid w:val="007B225D"/>
    <w:rsid w:val="007B29FE"/>
    <w:rsid w:val="007B31A6"/>
    <w:rsid w:val="007B5A2B"/>
    <w:rsid w:val="007B63BA"/>
    <w:rsid w:val="007B688C"/>
    <w:rsid w:val="007B6B45"/>
    <w:rsid w:val="007B7227"/>
    <w:rsid w:val="007C0674"/>
    <w:rsid w:val="007C1475"/>
    <w:rsid w:val="007C174F"/>
    <w:rsid w:val="007C1C64"/>
    <w:rsid w:val="007C26E4"/>
    <w:rsid w:val="007C4ABC"/>
    <w:rsid w:val="007C5CC1"/>
    <w:rsid w:val="007C7281"/>
    <w:rsid w:val="007C74C9"/>
    <w:rsid w:val="007C7C52"/>
    <w:rsid w:val="007D0839"/>
    <w:rsid w:val="007D1E12"/>
    <w:rsid w:val="007D26F4"/>
    <w:rsid w:val="007D40A1"/>
    <w:rsid w:val="007D4D03"/>
    <w:rsid w:val="007D514F"/>
    <w:rsid w:val="007D73DA"/>
    <w:rsid w:val="007E11D1"/>
    <w:rsid w:val="007E1E87"/>
    <w:rsid w:val="007E1F95"/>
    <w:rsid w:val="007E2323"/>
    <w:rsid w:val="007E2A74"/>
    <w:rsid w:val="007E3889"/>
    <w:rsid w:val="007E48BC"/>
    <w:rsid w:val="007E4912"/>
    <w:rsid w:val="007E56A0"/>
    <w:rsid w:val="007E5A11"/>
    <w:rsid w:val="007E6827"/>
    <w:rsid w:val="007E709F"/>
    <w:rsid w:val="007E79F7"/>
    <w:rsid w:val="007F0C6F"/>
    <w:rsid w:val="007F33BD"/>
    <w:rsid w:val="007F3630"/>
    <w:rsid w:val="007F3658"/>
    <w:rsid w:val="007F5BFB"/>
    <w:rsid w:val="00800598"/>
    <w:rsid w:val="008009B6"/>
    <w:rsid w:val="008016CD"/>
    <w:rsid w:val="00801DB2"/>
    <w:rsid w:val="00802199"/>
    <w:rsid w:val="0080240C"/>
    <w:rsid w:val="00803317"/>
    <w:rsid w:val="0080420C"/>
    <w:rsid w:val="008043A8"/>
    <w:rsid w:val="00804576"/>
    <w:rsid w:val="008051E1"/>
    <w:rsid w:val="008060F8"/>
    <w:rsid w:val="00806ECA"/>
    <w:rsid w:val="00807559"/>
    <w:rsid w:val="0081228D"/>
    <w:rsid w:val="00812435"/>
    <w:rsid w:val="008140FF"/>
    <w:rsid w:val="00814671"/>
    <w:rsid w:val="0081539A"/>
    <w:rsid w:val="00815D6D"/>
    <w:rsid w:val="0081643E"/>
    <w:rsid w:val="00820535"/>
    <w:rsid w:val="008222FF"/>
    <w:rsid w:val="00823523"/>
    <w:rsid w:val="0082440B"/>
    <w:rsid w:val="008260EB"/>
    <w:rsid w:val="0082659C"/>
    <w:rsid w:val="00826EC4"/>
    <w:rsid w:val="00826FFF"/>
    <w:rsid w:val="00831129"/>
    <w:rsid w:val="0083347A"/>
    <w:rsid w:val="00834306"/>
    <w:rsid w:val="0083431E"/>
    <w:rsid w:val="00834C80"/>
    <w:rsid w:val="00835258"/>
    <w:rsid w:val="0083532C"/>
    <w:rsid w:val="0083602A"/>
    <w:rsid w:val="00836D1C"/>
    <w:rsid w:val="00836F20"/>
    <w:rsid w:val="00837DA3"/>
    <w:rsid w:val="00841CB8"/>
    <w:rsid w:val="008430CD"/>
    <w:rsid w:val="008450BC"/>
    <w:rsid w:val="0084556B"/>
    <w:rsid w:val="00845A6C"/>
    <w:rsid w:val="00846350"/>
    <w:rsid w:val="00846570"/>
    <w:rsid w:val="00847006"/>
    <w:rsid w:val="00850080"/>
    <w:rsid w:val="00851A60"/>
    <w:rsid w:val="00852357"/>
    <w:rsid w:val="0085334B"/>
    <w:rsid w:val="008535A8"/>
    <w:rsid w:val="0085410B"/>
    <w:rsid w:val="0085473F"/>
    <w:rsid w:val="00854E54"/>
    <w:rsid w:val="00855138"/>
    <w:rsid w:val="00855486"/>
    <w:rsid w:val="00855C8A"/>
    <w:rsid w:val="00856A12"/>
    <w:rsid w:val="00856EF5"/>
    <w:rsid w:val="00856F45"/>
    <w:rsid w:val="008609EF"/>
    <w:rsid w:val="008609F0"/>
    <w:rsid w:val="00861A21"/>
    <w:rsid w:val="00862630"/>
    <w:rsid w:val="008629AD"/>
    <w:rsid w:val="00863E29"/>
    <w:rsid w:val="00863FE7"/>
    <w:rsid w:val="00864366"/>
    <w:rsid w:val="008656B9"/>
    <w:rsid w:val="00866234"/>
    <w:rsid w:val="008669E2"/>
    <w:rsid w:val="00867531"/>
    <w:rsid w:val="00867B23"/>
    <w:rsid w:val="00870214"/>
    <w:rsid w:val="008705DC"/>
    <w:rsid w:val="00871D74"/>
    <w:rsid w:val="00872C42"/>
    <w:rsid w:val="00874FDD"/>
    <w:rsid w:val="0087532A"/>
    <w:rsid w:val="0087631C"/>
    <w:rsid w:val="00876515"/>
    <w:rsid w:val="00877E09"/>
    <w:rsid w:val="008815B9"/>
    <w:rsid w:val="008828D9"/>
    <w:rsid w:val="008859DF"/>
    <w:rsid w:val="00885C51"/>
    <w:rsid w:val="00885EB0"/>
    <w:rsid w:val="00887012"/>
    <w:rsid w:val="00887393"/>
    <w:rsid w:val="00887523"/>
    <w:rsid w:val="008908CA"/>
    <w:rsid w:val="00891BD4"/>
    <w:rsid w:val="0089264A"/>
    <w:rsid w:val="008929C6"/>
    <w:rsid w:val="00893DC6"/>
    <w:rsid w:val="00893FC4"/>
    <w:rsid w:val="00895459"/>
    <w:rsid w:val="008969CC"/>
    <w:rsid w:val="00896AA1"/>
    <w:rsid w:val="00896B85"/>
    <w:rsid w:val="00897554"/>
    <w:rsid w:val="0089773A"/>
    <w:rsid w:val="008A1DA3"/>
    <w:rsid w:val="008A22BE"/>
    <w:rsid w:val="008A254B"/>
    <w:rsid w:val="008A3221"/>
    <w:rsid w:val="008A35FB"/>
    <w:rsid w:val="008A388D"/>
    <w:rsid w:val="008A4752"/>
    <w:rsid w:val="008A4A37"/>
    <w:rsid w:val="008A4C2D"/>
    <w:rsid w:val="008A4F84"/>
    <w:rsid w:val="008A60A8"/>
    <w:rsid w:val="008A62C2"/>
    <w:rsid w:val="008A7C96"/>
    <w:rsid w:val="008B0075"/>
    <w:rsid w:val="008B1906"/>
    <w:rsid w:val="008B2895"/>
    <w:rsid w:val="008B364B"/>
    <w:rsid w:val="008B3EE5"/>
    <w:rsid w:val="008B46B5"/>
    <w:rsid w:val="008B5567"/>
    <w:rsid w:val="008B5B8D"/>
    <w:rsid w:val="008B5FED"/>
    <w:rsid w:val="008B640C"/>
    <w:rsid w:val="008B6A1B"/>
    <w:rsid w:val="008B7427"/>
    <w:rsid w:val="008C0588"/>
    <w:rsid w:val="008C0E7A"/>
    <w:rsid w:val="008C1B36"/>
    <w:rsid w:val="008C1D0D"/>
    <w:rsid w:val="008C3036"/>
    <w:rsid w:val="008C34C8"/>
    <w:rsid w:val="008C3CFC"/>
    <w:rsid w:val="008C4A76"/>
    <w:rsid w:val="008D05AA"/>
    <w:rsid w:val="008D06C6"/>
    <w:rsid w:val="008D0A39"/>
    <w:rsid w:val="008D1510"/>
    <w:rsid w:val="008D1FC0"/>
    <w:rsid w:val="008D249A"/>
    <w:rsid w:val="008D2F18"/>
    <w:rsid w:val="008D359C"/>
    <w:rsid w:val="008D51EC"/>
    <w:rsid w:val="008D609D"/>
    <w:rsid w:val="008D60A4"/>
    <w:rsid w:val="008D66B3"/>
    <w:rsid w:val="008D7A0C"/>
    <w:rsid w:val="008E19AB"/>
    <w:rsid w:val="008E2D47"/>
    <w:rsid w:val="008E3046"/>
    <w:rsid w:val="008E55D7"/>
    <w:rsid w:val="008E6250"/>
    <w:rsid w:val="008E721E"/>
    <w:rsid w:val="008E7BA2"/>
    <w:rsid w:val="008F053A"/>
    <w:rsid w:val="008F06E5"/>
    <w:rsid w:val="008F08A0"/>
    <w:rsid w:val="008F22AE"/>
    <w:rsid w:val="008F2704"/>
    <w:rsid w:val="008F2929"/>
    <w:rsid w:val="008F3B41"/>
    <w:rsid w:val="008F4C65"/>
    <w:rsid w:val="008F5CE7"/>
    <w:rsid w:val="008F76F3"/>
    <w:rsid w:val="008F7D09"/>
    <w:rsid w:val="00900C3E"/>
    <w:rsid w:val="00901EF6"/>
    <w:rsid w:val="00902AF6"/>
    <w:rsid w:val="00902E6C"/>
    <w:rsid w:val="00903464"/>
    <w:rsid w:val="00903F06"/>
    <w:rsid w:val="0090433E"/>
    <w:rsid w:val="00905ED0"/>
    <w:rsid w:val="009069A1"/>
    <w:rsid w:val="009072D2"/>
    <w:rsid w:val="009117A6"/>
    <w:rsid w:val="00911A5F"/>
    <w:rsid w:val="009124AE"/>
    <w:rsid w:val="00912E7C"/>
    <w:rsid w:val="009134ED"/>
    <w:rsid w:val="00913521"/>
    <w:rsid w:val="00913C01"/>
    <w:rsid w:val="00913D95"/>
    <w:rsid w:val="00914030"/>
    <w:rsid w:val="00914389"/>
    <w:rsid w:val="00914450"/>
    <w:rsid w:val="00915654"/>
    <w:rsid w:val="009159E5"/>
    <w:rsid w:val="0091698B"/>
    <w:rsid w:val="00916F59"/>
    <w:rsid w:val="00916FCC"/>
    <w:rsid w:val="00916FE8"/>
    <w:rsid w:val="00920249"/>
    <w:rsid w:val="0092106C"/>
    <w:rsid w:val="0092345F"/>
    <w:rsid w:val="009238E5"/>
    <w:rsid w:val="00923A20"/>
    <w:rsid w:val="00923B48"/>
    <w:rsid w:val="009241DA"/>
    <w:rsid w:val="00924C80"/>
    <w:rsid w:val="00924E16"/>
    <w:rsid w:val="009274EC"/>
    <w:rsid w:val="00932748"/>
    <w:rsid w:val="00932F14"/>
    <w:rsid w:val="00933D3F"/>
    <w:rsid w:val="009343B0"/>
    <w:rsid w:val="00935747"/>
    <w:rsid w:val="0093679D"/>
    <w:rsid w:val="009367E9"/>
    <w:rsid w:val="00937A8D"/>
    <w:rsid w:val="0094104E"/>
    <w:rsid w:val="00941A77"/>
    <w:rsid w:val="0094247F"/>
    <w:rsid w:val="00942B6D"/>
    <w:rsid w:val="00942CBA"/>
    <w:rsid w:val="00942D60"/>
    <w:rsid w:val="00942F13"/>
    <w:rsid w:val="0094434B"/>
    <w:rsid w:val="00944BA4"/>
    <w:rsid w:val="00944DB7"/>
    <w:rsid w:val="0094641F"/>
    <w:rsid w:val="009466E2"/>
    <w:rsid w:val="00946AC6"/>
    <w:rsid w:val="00946C15"/>
    <w:rsid w:val="00947B7F"/>
    <w:rsid w:val="00947D1E"/>
    <w:rsid w:val="009504EB"/>
    <w:rsid w:val="00950A78"/>
    <w:rsid w:val="00950BED"/>
    <w:rsid w:val="0095126A"/>
    <w:rsid w:val="00951E86"/>
    <w:rsid w:val="009536A0"/>
    <w:rsid w:val="00953716"/>
    <w:rsid w:val="00957585"/>
    <w:rsid w:val="00960109"/>
    <w:rsid w:val="00960B24"/>
    <w:rsid w:val="00961144"/>
    <w:rsid w:val="0096241C"/>
    <w:rsid w:val="009640C6"/>
    <w:rsid w:val="00964391"/>
    <w:rsid w:val="0096523B"/>
    <w:rsid w:val="0096638B"/>
    <w:rsid w:val="00966EE3"/>
    <w:rsid w:val="009677F8"/>
    <w:rsid w:val="00967B30"/>
    <w:rsid w:val="0097056F"/>
    <w:rsid w:val="00971498"/>
    <w:rsid w:val="009717CB"/>
    <w:rsid w:val="00972040"/>
    <w:rsid w:val="00972094"/>
    <w:rsid w:val="00972571"/>
    <w:rsid w:val="009727A6"/>
    <w:rsid w:val="00972D06"/>
    <w:rsid w:val="00973489"/>
    <w:rsid w:val="009752A3"/>
    <w:rsid w:val="00976CA9"/>
    <w:rsid w:val="00977D8C"/>
    <w:rsid w:val="00977FDE"/>
    <w:rsid w:val="009816F8"/>
    <w:rsid w:val="009817D1"/>
    <w:rsid w:val="00981F0E"/>
    <w:rsid w:val="009844F9"/>
    <w:rsid w:val="00984A51"/>
    <w:rsid w:val="009853BA"/>
    <w:rsid w:val="009864A2"/>
    <w:rsid w:val="009905F3"/>
    <w:rsid w:val="00990658"/>
    <w:rsid w:val="009912BB"/>
    <w:rsid w:val="0099132A"/>
    <w:rsid w:val="0099221C"/>
    <w:rsid w:val="009922D1"/>
    <w:rsid w:val="0099345D"/>
    <w:rsid w:val="009936A3"/>
    <w:rsid w:val="00994060"/>
    <w:rsid w:val="00995ABA"/>
    <w:rsid w:val="00996A59"/>
    <w:rsid w:val="00997475"/>
    <w:rsid w:val="00997AC9"/>
    <w:rsid w:val="009A043F"/>
    <w:rsid w:val="009A0BDC"/>
    <w:rsid w:val="009A104D"/>
    <w:rsid w:val="009A2FEB"/>
    <w:rsid w:val="009A33EA"/>
    <w:rsid w:val="009A391C"/>
    <w:rsid w:val="009A4556"/>
    <w:rsid w:val="009A4F6C"/>
    <w:rsid w:val="009A50F2"/>
    <w:rsid w:val="009A5C29"/>
    <w:rsid w:val="009A6D07"/>
    <w:rsid w:val="009A7B0A"/>
    <w:rsid w:val="009B187A"/>
    <w:rsid w:val="009B25B0"/>
    <w:rsid w:val="009B2B23"/>
    <w:rsid w:val="009B3571"/>
    <w:rsid w:val="009B3861"/>
    <w:rsid w:val="009B4088"/>
    <w:rsid w:val="009B4328"/>
    <w:rsid w:val="009B6270"/>
    <w:rsid w:val="009C0711"/>
    <w:rsid w:val="009C0C38"/>
    <w:rsid w:val="009C0D8B"/>
    <w:rsid w:val="009C18F0"/>
    <w:rsid w:val="009C1D52"/>
    <w:rsid w:val="009C318C"/>
    <w:rsid w:val="009C3821"/>
    <w:rsid w:val="009C4322"/>
    <w:rsid w:val="009C700D"/>
    <w:rsid w:val="009C7588"/>
    <w:rsid w:val="009D2362"/>
    <w:rsid w:val="009D32FE"/>
    <w:rsid w:val="009D3917"/>
    <w:rsid w:val="009D411B"/>
    <w:rsid w:val="009D435A"/>
    <w:rsid w:val="009D578E"/>
    <w:rsid w:val="009D5EF6"/>
    <w:rsid w:val="009D6B8F"/>
    <w:rsid w:val="009D790B"/>
    <w:rsid w:val="009E0798"/>
    <w:rsid w:val="009E0A61"/>
    <w:rsid w:val="009E0D64"/>
    <w:rsid w:val="009E1A12"/>
    <w:rsid w:val="009E284F"/>
    <w:rsid w:val="009E3010"/>
    <w:rsid w:val="009E316E"/>
    <w:rsid w:val="009E3CE3"/>
    <w:rsid w:val="009E528E"/>
    <w:rsid w:val="009E5DE5"/>
    <w:rsid w:val="009E6DBF"/>
    <w:rsid w:val="009E7F5E"/>
    <w:rsid w:val="009F007E"/>
    <w:rsid w:val="009F1BCF"/>
    <w:rsid w:val="009F374A"/>
    <w:rsid w:val="009F492F"/>
    <w:rsid w:val="009F52F0"/>
    <w:rsid w:val="009F6227"/>
    <w:rsid w:val="009F6454"/>
    <w:rsid w:val="009F7065"/>
    <w:rsid w:val="009F7401"/>
    <w:rsid w:val="00A0003F"/>
    <w:rsid w:val="00A01BE2"/>
    <w:rsid w:val="00A01C75"/>
    <w:rsid w:val="00A0223F"/>
    <w:rsid w:val="00A040E5"/>
    <w:rsid w:val="00A0465D"/>
    <w:rsid w:val="00A04D30"/>
    <w:rsid w:val="00A05329"/>
    <w:rsid w:val="00A05F2A"/>
    <w:rsid w:val="00A0621F"/>
    <w:rsid w:val="00A07868"/>
    <w:rsid w:val="00A079A5"/>
    <w:rsid w:val="00A07EFC"/>
    <w:rsid w:val="00A1033D"/>
    <w:rsid w:val="00A12B05"/>
    <w:rsid w:val="00A12B44"/>
    <w:rsid w:val="00A14AA2"/>
    <w:rsid w:val="00A14EBB"/>
    <w:rsid w:val="00A1583E"/>
    <w:rsid w:val="00A17062"/>
    <w:rsid w:val="00A1750E"/>
    <w:rsid w:val="00A17B1E"/>
    <w:rsid w:val="00A17ECA"/>
    <w:rsid w:val="00A21341"/>
    <w:rsid w:val="00A213FD"/>
    <w:rsid w:val="00A21D0D"/>
    <w:rsid w:val="00A22C0B"/>
    <w:rsid w:val="00A232BD"/>
    <w:rsid w:val="00A2389F"/>
    <w:rsid w:val="00A23A80"/>
    <w:rsid w:val="00A24416"/>
    <w:rsid w:val="00A24617"/>
    <w:rsid w:val="00A24DF9"/>
    <w:rsid w:val="00A2548F"/>
    <w:rsid w:val="00A2605B"/>
    <w:rsid w:val="00A260F0"/>
    <w:rsid w:val="00A301D0"/>
    <w:rsid w:val="00A326C5"/>
    <w:rsid w:val="00A348EB"/>
    <w:rsid w:val="00A34A50"/>
    <w:rsid w:val="00A34D0A"/>
    <w:rsid w:val="00A36FAA"/>
    <w:rsid w:val="00A40193"/>
    <w:rsid w:val="00A406BF"/>
    <w:rsid w:val="00A4093E"/>
    <w:rsid w:val="00A41086"/>
    <w:rsid w:val="00A411FC"/>
    <w:rsid w:val="00A4175D"/>
    <w:rsid w:val="00A42BFC"/>
    <w:rsid w:val="00A45055"/>
    <w:rsid w:val="00A45A83"/>
    <w:rsid w:val="00A4667A"/>
    <w:rsid w:val="00A5032E"/>
    <w:rsid w:val="00A50FDE"/>
    <w:rsid w:val="00A516BE"/>
    <w:rsid w:val="00A531C6"/>
    <w:rsid w:val="00A53E5D"/>
    <w:rsid w:val="00A5424C"/>
    <w:rsid w:val="00A54934"/>
    <w:rsid w:val="00A54BBF"/>
    <w:rsid w:val="00A56DC7"/>
    <w:rsid w:val="00A56E0C"/>
    <w:rsid w:val="00A56E34"/>
    <w:rsid w:val="00A600C1"/>
    <w:rsid w:val="00A603EC"/>
    <w:rsid w:val="00A60807"/>
    <w:rsid w:val="00A619EF"/>
    <w:rsid w:val="00A62714"/>
    <w:rsid w:val="00A6276F"/>
    <w:rsid w:val="00A629B8"/>
    <w:rsid w:val="00A63854"/>
    <w:rsid w:val="00A649E4"/>
    <w:rsid w:val="00A64C60"/>
    <w:rsid w:val="00A67044"/>
    <w:rsid w:val="00A73253"/>
    <w:rsid w:val="00A7357A"/>
    <w:rsid w:val="00A74493"/>
    <w:rsid w:val="00A74FD1"/>
    <w:rsid w:val="00A751FE"/>
    <w:rsid w:val="00A753CF"/>
    <w:rsid w:val="00A75504"/>
    <w:rsid w:val="00A75DA2"/>
    <w:rsid w:val="00A80F56"/>
    <w:rsid w:val="00A811A1"/>
    <w:rsid w:val="00A8170D"/>
    <w:rsid w:val="00A81938"/>
    <w:rsid w:val="00A82385"/>
    <w:rsid w:val="00A82A94"/>
    <w:rsid w:val="00A83B34"/>
    <w:rsid w:val="00A84A58"/>
    <w:rsid w:val="00A859EA"/>
    <w:rsid w:val="00A8668B"/>
    <w:rsid w:val="00A86D33"/>
    <w:rsid w:val="00A86DD7"/>
    <w:rsid w:val="00A906FB"/>
    <w:rsid w:val="00A918E7"/>
    <w:rsid w:val="00A91DF1"/>
    <w:rsid w:val="00A9218D"/>
    <w:rsid w:val="00A92637"/>
    <w:rsid w:val="00A954EB"/>
    <w:rsid w:val="00A95D82"/>
    <w:rsid w:val="00A96EFC"/>
    <w:rsid w:val="00AA0008"/>
    <w:rsid w:val="00AA0841"/>
    <w:rsid w:val="00AA252C"/>
    <w:rsid w:val="00AA4B39"/>
    <w:rsid w:val="00AA5CE8"/>
    <w:rsid w:val="00AA6C82"/>
    <w:rsid w:val="00AA6F13"/>
    <w:rsid w:val="00AB0275"/>
    <w:rsid w:val="00AB0D85"/>
    <w:rsid w:val="00AB2323"/>
    <w:rsid w:val="00AB2BE0"/>
    <w:rsid w:val="00AB2C7E"/>
    <w:rsid w:val="00AB3132"/>
    <w:rsid w:val="00AB3CE0"/>
    <w:rsid w:val="00AB513E"/>
    <w:rsid w:val="00AB54A7"/>
    <w:rsid w:val="00AB5AF5"/>
    <w:rsid w:val="00AC0E2E"/>
    <w:rsid w:val="00AC3054"/>
    <w:rsid w:val="00AC4196"/>
    <w:rsid w:val="00AC4768"/>
    <w:rsid w:val="00AC4B66"/>
    <w:rsid w:val="00AC534F"/>
    <w:rsid w:val="00AC6256"/>
    <w:rsid w:val="00AC74CB"/>
    <w:rsid w:val="00AC779E"/>
    <w:rsid w:val="00AD12DD"/>
    <w:rsid w:val="00AD2091"/>
    <w:rsid w:val="00AD22F9"/>
    <w:rsid w:val="00AD27F1"/>
    <w:rsid w:val="00AD325B"/>
    <w:rsid w:val="00AD33FC"/>
    <w:rsid w:val="00AD3D64"/>
    <w:rsid w:val="00AD50BF"/>
    <w:rsid w:val="00AD538F"/>
    <w:rsid w:val="00AD7062"/>
    <w:rsid w:val="00AD773D"/>
    <w:rsid w:val="00AD7A3D"/>
    <w:rsid w:val="00AD7FC0"/>
    <w:rsid w:val="00AE0F12"/>
    <w:rsid w:val="00AE1453"/>
    <w:rsid w:val="00AE1BCF"/>
    <w:rsid w:val="00AE2162"/>
    <w:rsid w:val="00AE2A2C"/>
    <w:rsid w:val="00AE384A"/>
    <w:rsid w:val="00AE422D"/>
    <w:rsid w:val="00AE4E6E"/>
    <w:rsid w:val="00AE521F"/>
    <w:rsid w:val="00AE6617"/>
    <w:rsid w:val="00AE6C76"/>
    <w:rsid w:val="00AE6E50"/>
    <w:rsid w:val="00AE766D"/>
    <w:rsid w:val="00AE7AE8"/>
    <w:rsid w:val="00AE7D9C"/>
    <w:rsid w:val="00AF00A5"/>
    <w:rsid w:val="00AF06FC"/>
    <w:rsid w:val="00AF0D21"/>
    <w:rsid w:val="00AF0F31"/>
    <w:rsid w:val="00AF19A9"/>
    <w:rsid w:val="00AF1D7B"/>
    <w:rsid w:val="00AF2E33"/>
    <w:rsid w:val="00AF30D7"/>
    <w:rsid w:val="00AF3391"/>
    <w:rsid w:val="00AF387F"/>
    <w:rsid w:val="00AF602C"/>
    <w:rsid w:val="00AF6BA8"/>
    <w:rsid w:val="00AF7422"/>
    <w:rsid w:val="00AF789F"/>
    <w:rsid w:val="00B000FF"/>
    <w:rsid w:val="00B001BD"/>
    <w:rsid w:val="00B00E7F"/>
    <w:rsid w:val="00B031DB"/>
    <w:rsid w:val="00B04844"/>
    <w:rsid w:val="00B04C01"/>
    <w:rsid w:val="00B052F4"/>
    <w:rsid w:val="00B05B2D"/>
    <w:rsid w:val="00B05DD7"/>
    <w:rsid w:val="00B062DD"/>
    <w:rsid w:val="00B06AB2"/>
    <w:rsid w:val="00B06B21"/>
    <w:rsid w:val="00B11145"/>
    <w:rsid w:val="00B1134B"/>
    <w:rsid w:val="00B11C3A"/>
    <w:rsid w:val="00B11C76"/>
    <w:rsid w:val="00B15237"/>
    <w:rsid w:val="00B15C7E"/>
    <w:rsid w:val="00B15E49"/>
    <w:rsid w:val="00B16C8E"/>
    <w:rsid w:val="00B173DA"/>
    <w:rsid w:val="00B20E53"/>
    <w:rsid w:val="00B20F87"/>
    <w:rsid w:val="00B21DCC"/>
    <w:rsid w:val="00B252AC"/>
    <w:rsid w:val="00B25AE0"/>
    <w:rsid w:val="00B25F37"/>
    <w:rsid w:val="00B26F1A"/>
    <w:rsid w:val="00B26F1E"/>
    <w:rsid w:val="00B3056E"/>
    <w:rsid w:val="00B32F2D"/>
    <w:rsid w:val="00B32FCA"/>
    <w:rsid w:val="00B33253"/>
    <w:rsid w:val="00B33C32"/>
    <w:rsid w:val="00B34669"/>
    <w:rsid w:val="00B35D87"/>
    <w:rsid w:val="00B35FFE"/>
    <w:rsid w:val="00B3789A"/>
    <w:rsid w:val="00B402AA"/>
    <w:rsid w:val="00B407B8"/>
    <w:rsid w:val="00B40BA3"/>
    <w:rsid w:val="00B417A6"/>
    <w:rsid w:val="00B41B1B"/>
    <w:rsid w:val="00B4220A"/>
    <w:rsid w:val="00B423C4"/>
    <w:rsid w:val="00B427B2"/>
    <w:rsid w:val="00B42C03"/>
    <w:rsid w:val="00B42C6F"/>
    <w:rsid w:val="00B44422"/>
    <w:rsid w:val="00B454CC"/>
    <w:rsid w:val="00B45C7D"/>
    <w:rsid w:val="00B46AB0"/>
    <w:rsid w:val="00B46EA0"/>
    <w:rsid w:val="00B50725"/>
    <w:rsid w:val="00B51A46"/>
    <w:rsid w:val="00B51E03"/>
    <w:rsid w:val="00B52820"/>
    <w:rsid w:val="00B541F7"/>
    <w:rsid w:val="00B54757"/>
    <w:rsid w:val="00B54ECF"/>
    <w:rsid w:val="00B550D1"/>
    <w:rsid w:val="00B555B3"/>
    <w:rsid w:val="00B558FF"/>
    <w:rsid w:val="00B56538"/>
    <w:rsid w:val="00B60195"/>
    <w:rsid w:val="00B60A8E"/>
    <w:rsid w:val="00B617CC"/>
    <w:rsid w:val="00B62022"/>
    <w:rsid w:val="00B62638"/>
    <w:rsid w:val="00B640D8"/>
    <w:rsid w:val="00B6456A"/>
    <w:rsid w:val="00B6535A"/>
    <w:rsid w:val="00B65710"/>
    <w:rsid w:val="00B65E5A"/>
    <w:rsid w:val="00B66438"/>
    <w:rsid w:val="00B66A64"/>
    <w:rsid w:val="00B70801"/>
    <w:rsid w:val="00B71F51"/>
    <w:rsid w:val="00B724E4"/>
    <w:rsid w:val="00B72501"/>
    <w:rsid w:val="00B72E9B"/>
    <w:rsid w:val="00B731D3"/>
    <w:rsid w:val="00B73B30"/>
    <w:rsid w:val="00B749C3"/>
    <w:rsid w:val="00B74A5E"/>
    <w:rsid w:val="00B74DCF"/>
    <w:rsid w:val="00B755F5"/>
    <w:rsid w:val="00B7665E"/>
    <w:rsid w:val="00B77FA9"/>
    <w:rsid w:val="00B80972"/>
    <w:rsid w:val="00B80CEA"/>
    <w:rsid w:val="00B80EE3"/>
    <w:rsid w:val="00B81FC3"/>
    <w:rsid w:val="00B82077"/>
    <w:rsid w:val="00B839A3"/>
    <w:rsid w:val="00B84F69"/>
    <w:rsid w:val="00B853D2"/>
    <w:rsid w:val="00B85862"/>
    <w:rsid w:val="00B85C95"/>
    <w:rsid w:val="00B86C56"/>
    <w:rsid w:val="00B902BD"/>
    <w:rsid w:val="00B91430"/>
    <w:rsid w:val="00B91AB6"/>
    <w:rsid w:val="00B92A86"/>
    <w:rsid w:val="00B93E32"/>
    <w:rsid w:val="00B94F6F"/>
    <w:rsid w:val="00B95A12"/>
    <w:rsid w:val="00B95C10"/>
    <w:rsid w:val="00B9694C"/>
    <w:rsid w:val="00B96A00"/>
    <w:rsid w:val="00B974CE"/>
    <w:rsid w:val="00BA03A6"/>
    <w:rsid w:val="00BA0A9C"/>
    <w:rsid w:val="00BA24E2"/>
    <w:rsid w:val="00BA2E47"/>
    <w:rsid w:val="00BA31E3"/>
    <w:rsid w:val="00BA3AC0"/>
    <w:rsid w:val="00BA4583"/>
    <w:rsid w:val="00BA4AB2"/>
    <w:rsid w:val="00BA4E50"/>
    <w:rsid w:val="00BA5B55"/>
    <w:rsid w:val="00BB002F"/>
    <w:rsid w:val="00BB035D"/>
    <w:rsid w:val="00BB1F84"/>
    <w:rsid w:val="00BB20A4"/>
    <w:rsid w:val="00BB3184"/>
    <w:rsid w:val="00BB3442"/>
    <w:rsid w:val="00BB40BE"/>
    <w:rsid w:val="00BB4A03"/>
    <w:rsid w:val="00BB5930"/>
    <w:rsid w:val="00BB79AF"/>
    <w:rsid w:val="00BC01A4"/>
    <w:rsid w:val="00BC0B37"/>
    <w:rsid w:val="00BC1684"/>
    <w:rsid w:val="00BC1D10"/>
    <w:rsid w:val="00BC1E81"/>
    <w:rsid w:val="00BC2A67"/>
    <w:rsid w:val="00BC3427"/>
    <w:rsid w:val="00BC3E87"/>
    <w:rsid w:val="00BC4A12"/>
    <w:rsid w:val="00BC6FCC"/>
    <w:rsid w:val="00BC7345"/>
    <w:rsid w:val="00BD007A"/>
    <w:rsid w:val="00BD0246"/>
    <w:rsid w:val="00BD1838"/>
    <w:rsid w:val="00BD2A39"/>
    <w:rsid w:val="00BD2E80"/>
    <w:rsid w:val="00BD384E"/>
    <w:rsid w:val="00BD3E88"/>
    <w:rsid w:val="00BD5171"/>
    <w:rsid w:val="00BD52A4"/>
    <w:rsid w:val="00BD65AC"/>
    <w:rsid w:val="00BD6FC5"/>
    <w:rsid w:val="00BE0E78"/>
    <w:rsid w:val="00BE11B8"/>
    <w:rsid w:val="00BE1427"/>
    <w:rsid w:val="00BE1868"/>
    <w:rsid w:val="00BE208F"/>
    <w:rsid w:val="00BE3742"/>
    <w:rsid w:val="00BE3818"/>
    <w:rsid w:val="00BE48C2"/>
    <w:rsid w:val="00BE4DC9"/>
    <w:rsid w:val="00BE568F"/>
    <w:rsid w:val="00BE6923"/>
    <w:rsid w:val="00BF0A99"/>
    <w:rsid w:val="00BF10F2"/>
    <w:rsid w:val="00BF2121"/>
    <w:rsid w:val="00BF2B17"/>
    <w:rsid w:val="00BF34C3"/>
    <w:rsid w:val="00BF635C"/>
    <w:rsid w:val="00BF67D9"/>
    <w:rsid w:val="00BF6CAB"/>
    <w:rsid w:val="00BF7013"/>
    <w:rsid w:val="00BF7FF0"/>
    <w:rsid w:val="00C0306D"/>
    <w:rsid w:val="00C04D13"/>
    <w:rsid w:val="00C04FA8"/>
    <w:rsid w:val="00C112C2"/>
    <w:rsid w:val="00C114DD"/>
    <w:rsid w:val="00C11C8E"/>
    <w:rsid w:val="00C121E3"/>
    <w:rsid w:val="00C12383"/>
    <w:rsid w:val="00C12502"/>
    <w:rsid w:val="00C1266C"/>
    <w:rsid w:val="00C1279B"/>
    <w:rsid w:val="00C128FA"/>
    <w:rsid w:val="00C1297C"/>
    <w:rsid w:val="00C12B7B"/>
    <w:rsid w:val="00C1368F"/>
    <w:rsid w:val="00C14056"/>
    <w:rsid w:val="00C14CBA"/>
    <w:rsid w:val="00C14FD2"/>
    <w:rsid w:val="00C152E1"/>
    <w:rsid w:val="00C1610F"/>
    <w:rsid w:val="00C1634F"/>
    <w:rsid w:val="00C16982"/>
    <w:rsid w:val="00C16DA9"/>
    <w:rsid w:val="00C17146"/>
    <w:rsid w:val="00C20107"/>
    <w:rsid w:val="00C2085C"/>
    <w:rsid w:val="00C21170"/>
    <w:rsid w:val="00C216FC"/>
    <w:rsid w:val="00C217A0"/>
    <w:rsid w:val="00C21D02"/>
    <w:rsid w:val="00C22390"/>
    <w:rsid w:val="00C228FF"/>
    <w:rsid w:val="00C23854"/>
    <w:rsid w:val="00C27441"/>
    <w:rsid w:val="00C3049F"/>
    <w:rsid w:val="00C324D4"/>
    <w:rsid w:val="00C32ABD"/>
    <w:rsid w:val="00C332FC"/>
    <w:rsid w:val="00C347BB"/>
    <w:rsid w:val="00C35322"/>
    <w:rsid w:val="00C3550A"/>
    <w:rsid w:val="00C36578"/>
    <w:rsid w:val="00C36E96"/>
    <w:rsid w:val="00C40210"/>
    <w:rsid w:val="00C40AA5"/>
    <w:rsid w:val="00C40DF7"/>
    <w:rsid w:val="00C45B55"/>
    <w:rsid w:val="00C469F3"/>
    <w:rsid w:val="00C46F70"/>
    <w:rsid w:val="00C4738E"/>
    <w:rsid w:val="00C476D0"/>
    <w:rsid w:val="00C47E5D"/>
    <w:rsid w:val="00C50781"/>
    <w:rsid w:val="00C51527"/>
    <w:rsid w:val="00C51634"/>
    <w:rsid w:val="00C5359C"/>
    <w:rsid w:val="00C53AD5"/>
    <w:rsid w:val="00C5419A"/>
    <w:rsid w:val="00C54C82"/>
    <w:rsid w:val="00C55040"/>
    <w:rsid w:val="00C56F71"/>
    <w:rsid w:val="00C5727D"/>
    <w:rsid w:val="00C603EF"/>
    <w:rsid w:val="00C604CB"/>
    <w:rsid w:val="00C61C93"/>
    <w:rsid w:val="00C63580"/>
    <w:rsid w:val="00C66076"/>
    <w:rsid w:val="00C67B3E"/>
    <w:rsid w:val="00C67F2D"/>
    <w:rsid w:val="00C7362D"/>
    <w:rsid w:val="00C75F69"/>
    <w:rsid w:val="00C77236"/>
    <w:rsid w:val="00C77EA0"/>
    <w:rsid w:val="00C8053D"/>
    <w:rsid w:val="00C807CD"/>
    <w:rsid w:val="00C82481"/>
    <w:rsid w:val="00C83328"/>
    <w:rsid w:val="00C836E3"/>
    <w:rsid w:val="00C837F8"/>
    <w:rsid w:val="00C840A9"/>
    <w:rsid w:val="00C8463F"/>
    <w:rsid w:val="00C84757"/>
    <w:rsid w:val="00C847E9"/>
    <w:rsid w:val="00C849B2"/>
    <w:rsid w:val="00C86577"/>
    <w:rsid w:val="00C87F7D"/>
    <w:rsid w:val="00C919EC"/>
    <w:rsid w:val="00C92C52"/>
    <w:rsid w:val="00C92E07"/>
    <w:rsid w:val="00C9319E"/>
    <w:rsid w:val="00C93781"/>
    <w:rsid w:val="00C93809"/>
    <w:rsid w:val="00C93E17"/>
    <w:rsid w:val="00C94942"/>
    <w:rsid w:val="00C95A55"/>
    <w:rsid w:val="00C96229"/>
    <w:rsid w:val="00C96868"/>
    <w:rsid w:val="00C96A50"/>
    <w:rsid w:val="00C9726A"/>
    <w:rsid w:val="00C97A65"/>
    <w:rsid w:val="00C97DF2"/>
    <w:rsid w:val="00CA014B"/>
    <w:rsid w:val="00CA0416"/>
    <w:rsid w:val="00CA271B"/>
    <w:rsid w:val="00CA2FCF"/>
    <w:rsid w:val="00CA33B8"/>
    <w:rsid w:val="00CA380A"/>
    <w:rsid w:val="00CA3C65"/>
    <w:rsid w:val="00CA40E5"/>
    <w:rsid w:val="00CA5EED"/>
    <w:rsid w:val="00CA7A0E"/>
    <w:rsid w:val="00CA7F0F"/>
    <w:rsid w:val="00CA7F35"/>
    <w:rsid w:val="00CB023F"/>
    <w:rsid w:val="00CB05BB"/>
    <w:rsid w:val="00CB1375"/>
    <w:rsid w:val="00CB2DD0"/>
    <w:rsid w:val="00CB3440"/>
    <w:rsid w:val="00CB6466"/>
    <w:rsid w:val="00CC00AC"/>
    <w:rsid w:val="00CC1190"/>
    <w:rsid w:val="00CC14BC"/>
    <w:rsid w:val="00CC1E23"/>
    <w:rsid w:val="00CC2760"/>
    <w:rsid w:val="00CC33BB"/>
    <w:rsid w:val="00CC36E7"/>
    <w:rsid w:val="00CC3918"/>
    <w:rsid w:val="00CC5226"/>
    <w:rsid w:val="00CC560B"/>
    <w:rsid w:val="00CC62DE"/>
    <w:rsid w:val="00CC6DF3"/>
    <w:rsid w:val="00CC75E2"/>
    <w:rsid w:val="00CD04AF"/>
    <w:rsid w:val="00CD17BB"/>
    <w:rsid w:val="00CD2850"/>
    <w:rsid w:val="00CD2DAB"/>
    <w:rsid w:val="00CD3512"/>
    <w:rsid w:val="00CD3CD7"/>
    <w:rsid w:val="00CD4014"/>
    <w:rsid w:val="00CD46EB"/>
    <w:rsid w:val="00CD48D6"/>
    <w:rsid w:val="00CD4D40"/>
    <w:rsid w:val="00CD6389"/>
    <w:rsid w:val="00CD687E"/>
    <w:rsid w:val="00CD6E18"/>
    <w:rsid w:val="00CD6F1F"/>
    <w:rsid w:val="00CD70E2"/>
    <w:rsid w:val="00CD7253"/>
    <w:rsid w:val="00CD739C"/>
    <w:rsid w:val="00CD7977"/>
    <w:rsid w:val="00CD7EBF"/>
    <w:rsid w:val="00CE062A"/>
    <w:rsid w:val="00CE0AEB"/>
    <w:rsid w:val="00CE14DE"/>
    <w:rsid w:val="00CE25C8"/>
    <w:rsid w:val="00CE2AF4"/>
    <w:rsid w:val="00CE3FDE"/>
    <w:rsid w:val="00CE471C"/>
    <w:rsid w:val="00CE4A90"/>
    <w:rsid w:val="00CE4CBA"/>
    <w:rsid w:val="00CE57B6"/>
    <w:rsid w:val="00CE61A2"/>
    <w:rsid w:val="00CE74F2"/>
    <w:rsid w:val="00CF1C10"/>
    <w:rsid w:val="00CF21C5"/>
    <w:rsid w:val="00CF3A29"/>
    <w:rsid w:val="00CF4148"/>
    <w:rsid w:val="00CF48E1"/>
    <w:rsid w:val="00CF5E36"/>
    <w:rsid w:val="00CF71A1"/>
    <w:rsid w:val="00D0027F"/>
    <w:rsid w:val="00D04529"/>
    <w:rsid w:val="00D056F1"/>
    <w:rsid w:val="00D062E4"/>
    <w:rsid w:val="00D06818"/>
    <w:rsid w:val="00D0683F"/>
    <w:rsid w:val="00D06ECD"/>
    <w:rsid w:val="00D10C03"/>
    <w:rsid w:val="00D11171"/>
    <w:rsid w:val="00D11652"/>
    <w:rsid w:val="00D11C39"/>
    <w:rsid w:val="00D12F5E"/>
    <w:rsid w:val="00D13253"/>
    <w:rsid w:val="00D14325"/>
    <w:rsid w:val="00D14405"/>
    <w:rsid w:val="00D168A3"/>
    <w:rsid w:val="00D169BF"/>
    <w:rsid w:val="00D17183"/>
    <w:rsid w:val="00D2071E"/>
    <w:rsid w:val="00D209C9"/>
    <w:rsid w:val="00D218AE"/>
    <w:rsid w:val="00D218B4"/>
    <w:rsid w:val="00D22F3C"/>
    <w:rsid w:val="00D23027"/>
    <w:rsid w:val="00D23B83"/>
    <w:rsid w:val="00D23DB6"/>
    <w:rsid w:val="00D241BE"/>
    <w:rsid w:val="00D246E5"/>
    <w:rsid w:val="00D24F83"/>
    <w:rsid w:val="00D25AD3"/>
    <w:rsid w:val="00D25D67"/>
    <w:rsid w:val="00D26814"/>
    <w:rsid w:val="00D2787F"/>
    <w:rsid w:val="00D3171B"/>
    <w:rsid w:val="00D329F6"/>
    <w:rsid w:val="00D32AC2"/>
    <w:rsid w:val="00D33F56"/>
    <w:rsid w:val="00D3415E"/>
    <w:rsid w:val="00D354D2"/>
    <w:rsid w:val="00D37AA3"/>
    <w:rsid w:val="00D37DE9"/>
    <w:rsid w:val="00D403E4"/>
    <w:rsid w:val="00D42100"/>
    <w:rsid w:val="00D43FE6"/>
    <w:rsid w:val="00D44A0A"/>
    <w:rsid w:val="00D45BAC"/>
    <w:rsid w:val="00D50DB4"/>
    <w:rsid w:val="00D51A95"/>
    <w:rsid w:val="00D54815"/>
    <w:rsid w:val="00D55BF5"/>
    <w:rsid w:val="00D579CA"/>
    <w:rsid w:val="00D60568"/>
    <w:rsid w:val="00D60E95"/>
    <w:rsid w:val="00D61EC0"/>
    <w:rsid w:val="00D62117"/>
    <w:rsid w:val="00D63BE1"/>
    <w:rsid w:val="00D63F91"/>
    <w:rsid w:val="00D64DF2"/>
    <w:rsid w:val="00D64F72"/>
    <w:rsid w:val="00D67251"/>
    <w:rsid w:val="00D676CF"/>
    <w:rsid w:val="00D70C7A"/>
    <w:rsid w:val="00D729C2"/>
    <w:rsid w:val="00D73931"/>
    <w:rsid w:val="00D7544F"/>
    <w:rsid w:val="00D808DA"/>
    <w:rsid w:val="00D814C2"/>
    <w:rsid w:val="00D817EC"/>
    <w:rsid w:val="00D81D38"/>
    <w:rsid w:val="00D81F79"/>
    <w:rsid w:val="00D824B6"/>
    <w:rsid w:val="00D82F21"/>
    <w:rsid w:val="00D8353A"/>
    <w:rsid w:val="00D8470F"/>
    <w:rsid w:val="00D8471A"/>
    <w:rsid w:val="00D849A8"/>
    <w:rsid w:val="00D860BE"/>
    <w:rsid w:val="00D906C9"/>
    <w:rsid w:val="00D90FDB"/>
    <w:rsid w:val="00D91F0B"/>
    <w:rsid w:val="00D94276"/>
    <w:rsid w:val="00D969BA"/>
    <w:rsid w:val="00D973F3"/>
    <w:rsid w:val="00D97520"/>
    <w:rsid w:val="00D97538"/>
    <w:rsid w:val="00DA0B6C"/>
    <w:rsid w:val="00DA0F17"/>
    <w:rsid w:val="00DA10A8"/>
    <w:rsid w:val="00DA13E2"/>
    <w:rsid w:val="00DA1C7D"/>
    <w:rsid w:val="00DA2BB0"/>
    <w:rsid w:val="00DA2CD9"/>
    <w:rsid w:val="00DA334B"/>
    <w:rsid w:val="00DA3A10"/>
    <w:rsid w:val="00DA41AE"/>
    <w:rsid w:val="00DA4C43"/>
    <w:rsid w:val="00DA5468"/>
    <w:rsid w:val="00DB0CE6"/>
    <w:rsid w:val="00DB11CF"/>
    <w:rsid w:val="00DB194D"/>
    <w:rsid w:val="00DB1E08"/>
    <w:rsid w:val="00DB2973"/>
    <w:rsid w:val="00DB2C08"/>
    <w:rsid w:val="00DB324A"/>
    <w:rsid w:val="00DB39F5"/>
    <w:rsid w:val="00DB3B42"/>
    <w:rsid w:val="00DB3E4C"/>
    <w:rsid w:val="00DB4BD6"/>
    <w:rsid w:val="00DB64FC"/>
    <w:rsid w:val="00DB675E"/>
    <w:rsid w:val="00DB6C76"/>
    <w:rsid w:val="00DB75C7"/>
    <w:rsid w:val="00DB7A08"/>
    <w:rsid w:val="00DB7A91"/>
    <w:rsid w:val="00DB7AF6"/>
    <w:rsid w:val="00DC0BF9"/>
    <w:rsid w:val="00DC1B56"/>
    <w:rsid w:val="00DC2129"/>
    <w:rsid w:val="00DC238B"/>
    <w:rsid w:val="00DC3C72"/>
    <w:rsid w:val="00DC4880"/>
    <w:rsid w:val="00DC4CE5"/>
    <w:rsid w:val="00DC565B"/>
    <w:rsid w:val="00DC6570"/>
    <w:rsid w:val="00DD0493"/>
    <w:rsid w:val="00DD0DD4"/>
    <w:rsid w:val="00DD0F99"/>
    <w:rsid w:val="00DD214B"/>
    <w:rsid w:val="00DD288C"/>
    <w:rsid w:val="00DD3371"/>
    <w:rsid w:val="00DD3C5E"/>
    <w:rsid w:val="00DD4A9C"/>
    <w:rsid w:val="00DD7D50"/>
    <w:rsid w:val="00DE0D67"/>
    <w:rsid w:val="00DE3135"/>
    <w:rsid w:val="00DE4AA0"/>
    <w:rsid w:val="00DE4B75"/>
    <w:rsid w:val="00DE6B02"/>
    <w:rsid w:val="00DE79D9"/>
    <w:rsid w:val="00DF05ED"/>
    <w:rsid w:val="00DF09E5"/>
    <w:rsid w:val="00DF14BE"/>
    <w:rsid w:val="00DF174B"/>
    <w:rsid w:val="00DF1D0A"/>
    <w:rsid w:val="00DF1F0B"/>
    <w:rsid w:val="00DF25C3"/>
    <w:rsid w:val="00DF41AE"/>
    <w:rsid w:val="00DF45D5"/>
    <w:rsid w:val="00DF55E3"/>
    <w:rsid w:val="00DF5DE4"/>
    <w:rsid w:val="00DF75C6"/>
    <w:rsid w:val="00DF798A"/>
    <w:rsid w:val="00DF7C6A"/>
    <w:rsid w:val="00E0003B"/>
    <w:rsid w:val="00E01D5B"/>
    <w:rsid w:val="00E020F7"/>
    <w:rsid w:val="00E03188"/>
    <w:rsid w:val="00E04062"/>
    <w:rsid w:val="00E063C6"/>
    <w:rsid w:val="00E069BA"/>
    <w:rsid w:val="00E1250D"/>
    <w:rsid w:val="00E13349"/>
    <w:rsid w:val="00E1362C"/>
    <w:rsid w:val="00E149CC"/>
    <w:rsid w:val="00E167E4"/>
    <w:rsid w:val="00E16BAE"/>
    <w:rsid w:val="00E175AB"/>
    <w:rsid w:val="00E2003B"/>
    <w:rsid w:val="00E203C2"/>
    <w:rsid w:val="00E20660"/>
    <w:rsid w:val="00E20E50"/>
    <w:rsid w:val="00E20F89"/>
    <w:rsid w:val="00E22D71"/>
    <w:rsid w:val="00E247DF"/>
    <w:rsid w:val="00E24DE8"/>
    <w:rsid w:val="00E251B6"/>
    <w:rsid w:val="00E2571A"/>
    <w:rsid w:val="00E25726"/>
    <w:rsid w:val="00E25FF2"/>
    <w:rsid w:val="00E275D4"/>
    <w:rsid w:val="00E279D8"/>
    <w:rsid w:val="00E303DD"/>
    <w:rsid w:val="00E319B1"/>
    <w:rsid w:val="00E3274E"/>
    <w:rsid w:val="00E32822"/>
    <w:rsid w:val="00E32E66"/>
    <w:rsid w:val="00E37CBA"/>
    <w:rsid w:val="00E40EA6"/>
    <w:rsid w:val="00E40ED4"/>
    <w:rsid w:val="00E41289"/>
    <w:rsid w:val="00E43CDA"/>
    <w:rsid w:val="00E44E0D"/>
    <w:rsid w:val="00E44E87"/>
    <w:rsid w:val="00E4641A"/>
    <w:rsid w:val="00E46423"/>
    <w:rsid w:val="00E478BA"/>
    <w:rsid w:val="00E4791E"/>
    <w:rsid w:val="00E511E2"/>
    <w:rsid w:val="00E520FE"/>
    <w:rsid w:val="00E5328A"/>
    <w:rsid w:val="00E5492F"/>
    <w:rsid w:val="00E550BA"/>
    <w:rsid w:val="00E5621D"/>
    <w:rsid w:val="00E56351"/>
    <w:rsid w:val="00E566CF"/>
    <w:rsid w:val="00E568AB"/>
    <w:rsid w:val="00E6162D"/>
    <w:rsid w:val="00E6237E"/>
    <w:rsid w:val="00E62DEF"/>
    <w:rsid w:val="00E637FE"/>
    <w:rsid w:val="00E643BC"/>
    <w:rsid w:val="00E6457D"/>
    <w:rsid w:val="00E646A4"/>
    <w:rsid w:val="00E65885"/>
    <w:rsid w:val="00E66811"/>
    <w:rsid w:val="00E66E56"/>
    <w:rsid w:val="00E704DA"/>
    <w:rsid w:val="00E70581"/>
    <w:rsid w:val="00E70A86"/>
    <w:rsid w:val="00E71AE0"/>
    <w:rsid w:val="00E72650"/>
    <w:rsid w:val="00E740C4"/>
    <w:rsid w:val="00E74E2E"/>
    <w:rsid w:val="00E74E74"/>
    <w:rsid w:val="00E75054"/>
    <w:rsid w:val="00E751D6"/>
    <w:rsid w:val="00E76A9F"/>
    <w:rsid w:val="00E77773"/>
    <w:rsid w:val="00E777EC"/>
    <w:rsid w:val="00E8053A"/>
    <w:rsid w:val="00E80850"/>
    <w:rsid w:val="00E8095D"/>
    <w:rsid w:val="00E80FCD"/>
    <w:rsid w:val="00E8181E"/>
    <w:rsid w:val="00E81F6E"/>
    <w:rsid w:val="00E8219F"/>
    <w:rsid w:val="00E84858"/>
    <w:rsid w:val="00E855BF"/>
    <w:rsid w:val="00E90BDD"/>
    <w:rsid w:val="00E9136D"/>
    <w:rsid w:val="00E91C26"/>
    <w:rsid w:val="00E91FB0"/>
    <w:rsid w:val="00E92011"/>
    <w:rsid w:val="00E92956"/>
    <w:rsid w:val="00E93C64"/>
    <w:rsid w:val="00E94B11"/>
    <w:rsid w:val="00E95091"/>
    <w:rsid w:val="00E951F0"/>
    <w:rsid w:val="00E95505"/>
    <w:rsid w:val="00E95A37"/>
    <w:rsid w:val="00E96A67"/>
    <w:rsid w:val="00EA118C"/>
    <w:rsid w:val="00EA1A23"/>
    <w:rsid w:val="00EA3C43"/>
    <w:rsid w:val="00EA4B59"/>
    <w:rsid w:val="00EA78EA"/>
    <w:rsid w:val="00EA7F2F"/>
    <w:rsid w:val="00EB0004"/>
    <w:rsid w:val="00EB06AF"/>
    <w:rsid w:val="00EB0D2B"/>
    <w:rsid w:val="00EB2407"/>
    <w:rsid w:val="00EB26FF"/>
    <w:rsid w:val="00EB52D3"/>
    <w:rsid w:val="00EB555F"/>
    <w:rsid w:val="00EB5BB1"/>
    <w:rsid w:val="00EB652A"/>
    <w:rsid w:val="00EB7151"/>
    <w:rsid w:val="00EB75BA"/>
    <w:rsid w:val="00EC00DE"/>
    <w:rsid w:val="00EC30E1"/>
    <w:rsid w:val="00EC74AB"/>
    <w:rsid w:val="00ED172A"/>
    <w:rsid w:val="00ED179D"/>
    <w:rsid w:val="00ED3EA6"/>
    <w:rsid w:val="00ED4C8D"/>
    <w:rsid w:val="00ED4CAE"/>
    <w:rsid w:val="00ED51F0"/>
    <w:rsid w:val="00EE0883"/>
    <w:rsid w:val="00EE0A23"/>
    <w:rsid w:val="00EE3848"/>
    <w:rsid w:val="00EE6C38"/>
    <w:rsid w:val="00EE710E"/>
    <w:rsid w:val="00EE75BE"/>
    <w:rsid w:val="00EF0A15"/>
    <w:rsid w:val="00EF0D6D"/>
    <w:rsid w:val="00EF1E5F"/>
    <w:rsid w:val="00EF37D5"/>
    <w:rsid w:val="00EF4620"/>
    <w:rsid w:val="00EF4860"/>
    <w:rsid w:val="00EF4986"/>
    <w:rsid w:val="00EF5765"/>
    <w:rsid w:val="00F00E13"/>
    <w:rsid w:val="00F014BC"/>
    <w:rsid w:val="00F020EC"/>
    <w:rsid w:val="00F031D3"/>
    <w:rsid w:val="00F03EC4"/>
    <w:rsid w:val="00F04CAE"/>
    <w:rsid w:val="00F05359"/>
    <w:rsid w:val="00F05B71"/>
    <w:rsid w:val="00F06149"/>
    <w:rsid w:val="00F0656C"/>
    <w:rsid w:val="00F06828"/>
    <w:rsid w:val="00F0702F"/>
    <w:rsid w:val="00F0750B"/>
    <w:rsid w:val="00F076CD"/>
    <w:rsid w:val="00F0774C"/>
    <w:rsid w:val="00F07A7C"/>
    <w:rsid w:val="00F07B75"/>
    <w:rsid w:val="00F07E86"/>
    <w:rsid w:val="00F111D6"/>
    <w:rsid w:val="00F1288B"/>
    <w:rsid w:val="00F14BEC"/>
    <w:rsid w:val="00F151B5"/>
    <w:rsid w:val="00F169A3"/>
    <w:rsid w:val="00F174C4"/>
    <w:rsid w:val="00F21957"/>
    <w:rsid w:val="00F225C5"/>
    <w:rsid w:val="00F22A7B"/>
    <w:rsid w:val="00F24C77"/>
    <w:rsid w:val="00F25582"/>
    <w:rsid w:val="00F256C8"/>
    <w:rsid w:val="00F2573D"/>
    <w:rsid w:val="00F25868"/>
    <w:rsid w:val="00F2587A"/>
    <w:rsid w:val="00F25894"/>
    <w:rsid w:val="00F271A0"/>
    <w:rsid w:val="00F27576"/>
    <w:rsid w:val="00F3082E"/>
    <w:rsid w:val="00F30DAB"/>
    <w:rsid w:val="00F329F5"/>
    <w:rsid w:val="00F32D0B"/>
    <w:rsid w:val="00F32D37"/>
    <w:rsid w:val="00F33BB8"/>
    <w:rsid w:val="00F367E7"/>
    <w:rsid w:val="00F3715D"/>
    <w:rsid w:val="00F41770"/>
    <w:rsid w:val="00F41840"/>
    <w:rsid w:val="00F420C8"/>
    <w:rsid w:val="00F42799"/>
    <w:rsid w:val="00F427EE"/>
    <w:rsid w:val="00F42937"/>
    <w:rsid w:val="00F42A4C"/>
    <w:rsid w:val="00F438FC"/>
    <w:rsid w:val="00F43C1B"/>
    <w:rsid w:val="00F43ECE"/>
    <w:rsid w:val="00F44F68"/>
    <w:rsid w:val="00F45226"/>
    <w:rsid w:val="00F47BA1"/>
    <w:rsid w:val="00F500DC"/>
    <w:rsid w:val="00F51998"/>
    <w:rsid w:val="00F5307F"/>
    <w:rsid w:val="00F536EE"/>
    <w:rsid w:val="00F53B04"/>
    <w:rsid w:val="00F56AAA"/>
    <w:rsid w:val="00F604DE"/>
    <w:rsid w:val="00F610B8"/>
    <w:rsid w:val="00F62E8D"/>
    <w:rsid w:val="00F632D2"/>
    <w:rsid w:val="00F633AE"/>
    <w:rsid w:val="00F64653"/>
    <w:rsid w:val="00F64D39"/>
    <w:rsid w:val="00F65D3F"/>
    <w:rsid w:val="00F66009"/>
    <w:rsid w:val="00F66972"/>
    <w:rsid w:val="00F679A6"/>
    <w:rsid w:val="00F67A14"/>
    <w:rsid w:val="00F705B9"/>
    <w:rsid w:val="00F70D41"/>
    <w:rsid w:val="00F7122D"/>
    <w:rsid w:val="00F7232E"/>
    <w:rsid w:val="00F72B19"/>
    <w:rsid w:val="00F73289"/>
    <w:rsid w:val="00F73EA5"/>
    <w:rsid w:val="00F751BB"/>
    <w:rsid w:val="00F76C03"/>
    <w:rsid w:val="00F77710"/>
    <w:rsid w:val="00F77CAE"/>
    <w:rsid w:val="00F838D4"/>
    <w:rsid w:val="00F855EB"/>
    <w:rsid w:val="00F85681"/>
    <w:rsid w:val="00F86113"/>
    <w:rsid w:val="00F904C3"/>
    <w:rsid w:val="00F906B5"/>
    <w:rsid w:val="00F9579A"/>
    <w:rsid w:val="00F960FC"/>
    <w:rsid w:val="00F96AF3"/>
    <w:rsid w:val="00FA09C6"/>
    <w:rsid w:val="00FA1273"/>
    <w:rsid w:val="00FA167D"/>
    <w:rsid w:val="00FA1FBB"/>
    <w:rsid w:val="00FA296F"/>
    <w:rsid w:val="00FA793D"/>
    <w:rsid w:val="00FB1533"/>
    <w:rsid w:val="00FB1563"/>
    <w:rsid w:val="00FB2294"/>
    <w:rsid w:val="00FB2D26"/>
    <w:rsid w:val="00FB33F2"/>
    <w:rsid w:val="00FB458B"/>
    <w:rsid w:val="00FB63CD"/>
    <w:rsid w:val="00FB67A3"/>
    <w:rsid w:val="00FB7512"/>
    <w:rsid w:val="00FB7D78"/>
    <w:rsid w:val="00FC20C8"/>
    <w:rsid w:val="00FC25AA"/>
    <w:rsid w:val="00FC34D1"/>
    <w:rsid w:val="00FC393B"/>
    <w:rsid w:val="00FC3B96"/>
    <w:rsid w:val="00FC4429"/>
    <w:rsid w:val="00FC6E9C"/>
    <w:rsid w:val="00FD0231"/>
    <w:rsid w:val="00FD2FBE"/>
    <w:rsid w:val="00FD3952"/>
    <w:rsid w:val="00FD3E27"/>
    <w:rsid w:val="00FD4ECA"/>
    <w:rsid w:val="00FD5859"/>
    <w:rsid w:val="00FD6EFF"/>
    <w:rsid w:val="00FD6FF4"/>
    <w:rsid w:val="00FD7547"/>
    <w:rsid w:val="00FE12E9"/>
    <w:rsid w:val="00FE15AF"/>
    <w:rsid w:val="00FE1E75"/>
    <w:rsid w:val="00FE243B"/>
    <w:rsid w:val="00FE27E7"/>
    <w:rsid w:val="00FE2C1A"/>
    <w:rsid w:val="00FE30D0"/>
    <w:rsid w:val="00FE3686"/>
    <w:rsid w:val="00FE6C02"/>
    <w:rsid w:val="00FE72D2"/>
    <w:rsid w:val="00FE7D2E"/>
    <w:rsid w:val="00FF5365"/>
    <w:rsid w:val="00FF5F5C"/>
    <w:rsid w:val="00FF62FC"/>
    <w:rsid w:val="00FF6AA2"/>
    <w:rsid w:val="00FF6B83"/>
    <w:rsid w:val="00FF7850"/>
    <w:rsid w:val="00FF7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E087F35"/>
  <w15:docId w15:val="{75783D68-D557-40B2-8E80-43EBD79C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1"/>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2"/>
      </w:numPr>
      <w:ind w:left="1134" w:hanging="567"/>
    </w:pPr>
    <w:rPr>
      <w:rFonts w:eastAsia="Calibri"/>
      <w:szCs w:val="22"/>
      <w:lang w:bidi="ar-SA"/>
    </w:rPr>
  </w:style>
  <w:style w:type="paragraph" w:customStyle="1" w:styleId="FSBullet3">
    <w:name w:val="FSBullet 3"/>
    <w:basedOn w:val="Normal"/>
    <w:uiPriority w:val="6"/>
    <w:qFormat/>
    <w:locked/>
    <w:rsid w:val="00944BA4"/>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uiPriority w:val="5"/>
    <w:qFormat/>
    <w:rsid w:val="00820535"/>
    <w:rPr>
      <w:sz w:val="20"/>
      <w:szCs w:val="20"/>
    </w:rPr>
  </w:style>
  <w:style w:type="character" w:customStyle="1" w:styleId="FootnoteTextChar">
    <w:name w:val="Footnote Text Char"/>
    <w:aliases w:val="Footnotes Text Char,FSFootnotes Text Char"/>
    <w:basedOn w:val="DefaultParagraphFont"/>
    <w:link w:val="FootnoteText"/>
    <w:uiPriority w:val="5"/>
    <w:rsid w:val="00820535"/>
    <w:rPr>
      <w:rFonts w:ascii="Arial" w:hAnsi="Arial"/>
      <w:lang w:eastAsia="en-US" w:bidi="en-US"/>
    </w:rPr>
  </w:style>
  <w:style w:type="paragraph" w:styleId="ListParagraph">
    <w:name w:val="List Paragraph"/>
    <w:basedOn w:val="Normal"/>
    <w:uiPriority w:val="34"/>
    <w:qFormat/>
    <w:rsid w:val="00503372"/>
    <w:pPr>
      <w:ind w:left="720"/>
      <w:contextualSpacing/>
    </w:pPr>
  </w:style>
  <w:style w:type="table" w:styleId="GridTable4-Accent3">
    <w:name w:val="Grid Table 4 Accent 3"/>
    <w:basedOn w:val="TableNormal"/>
    <w:uiPriority w:val="49"/>
    <w:rsid w:val="001350D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FSCaption">
    <w:name w:val="FSCaption"/>
    <w:basedOn w:val="Normal"/>
    <w:uiPriority w:val="9"/>
    <w:qFormat/>
    <w:locked/>
    <w:rsid w:val="00A600C1"/>
    <w:pPr>
      <w:keepNext/>
      <w:keepLines/>
      <w:spacing w:before="120"/>
    </w:pPr>
    <w:rPr>
      <w:i/>
      <w:sz w:val="16"/>
      <w:szCs w:val="16"/>
    </w:rPr>
  </w:style>
  <w:style w:type="paragraph" w:customStyle="1" w:styleId="Default">
    <w:name w:val="Default"/>
    <w:rsid w:val="0012303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4741F3"/>
    <w:pPr>
      <w:autoSpaceDE w:val="0"/>
      <w:autoSpaceDN w:val="0"/>
      <w:adjustRightInd w:val="0"/>
      <w:ind w:left="100" w:hanging="360"/>
    </w:pPr>
    <w:rPr>
      <w:rFonts w:ascii="Times New Roman" w:eastAsiaTheme="minorEastAsia" w:hAnsi="Times New Roman"/>
      <w:sz w:val="24"/>
      <w:lang w:val="en-AU" w:eastAsia="en-AU" w:bidi="ar-SA"/>
    </w:rPr>
  </w:style>
  <w:style w:type="character" w:customStyle="1" w:styleId="BodyTextChar">
    <w:name w:val="Body Text Char"/>
    <w:basedOn w:val="DefaultParagraphFont"/>
    <w:link w:val="BodyText"/>
    <w:uiPriority w:val="1"/>
    <w:rsid w:val="004741F3"/>
    <w:rPr>
      <w:rFonts w:ascii="Times New Roman" w:eastAsiaTheme="minorEastAsia" w:hAnsi="Times New Roman"/>
      <w:sz w:val="24"/>
      <w:szCs w:val="24"/>
      <w:lang w:val="en-AU" w:eastAsia="en-AU"/>
    </w:rPr>
  </w:style>
  <w:style w:type="table" w:customStyle="1" w:styleId="TableGrid5">
    <w:name w:val="Table Grid5"/>
    <w:basedOn w:val="TableNormal"/>
    <w:uiPriority w:val="59"/>
    <w:rsid w:val="00033970"/>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239">
      <w:bodyDiv w:val="1"/>
      <w:marLeft w:val="0"/>
      <w:marRight w:val="0"/>
      <w:marTop w:val="0"/>
      <w:marBottom w:val="0"/>
      <w:divBdr>
        <w:top w:val="none" w:sz="0" w:space="0" w:color="auto"/>
        <w:left w:val="none" w:sz="0" w:space="0" w:color="auto"/>
        <w:bottom w:val="none" w:sz="0" w:space="0" w:color="auto"/>
        <w:right w:val="none" w:sz="0" w:space="0" w:color="auto"/>
      </w:divBdr>
    </w:div>
    <w:div w:id="31922528">
      <w:bodyDiv w:val="1"/>
      <w:marLeft w:val="0"/>
      <w:marRight w:val="0"/>
      <w:marTop w:val="0"/>
      <w:marBottom w:val="0"/>
      <w:divBdr>
        <w:top w:val="none" w:sz="0" w:space="0" w:color="auto"/>
        <w:left w:val="none" w:sz="0" w:space="0" w:color="auto"/>
        <w:bottom w:val="none" w:sz="0" w:space="0" w:color="auto"/>
        <w:right w:val="none" w:sz="0" w:space="0" w:color="auto"/>
      </w:divBdr>
    </w:div>
    <w:div w:id="125897031">
      <w:bodyDiv w:val="1"/>
      <w:marLeft w:val="0"/>
      <w:marRight w:val="0"/>
      <w:marTop w:val="0"/>
      <w:marBottom w:val="0"/>
      <w:divBdr>
        <w:top w:val="none" w:sz="0" w:space="0" w:color="auto"/>
        <w:left w:val="none" w:sz="0" w:space="0" w:color="auto"/>
        <w:bottom w:val="none" w:sz="0" w:space="0" w:color="auto"/>
        <w:right w:val="none" w:sz="0" w:space="0" w:color="auto"/>
      </w:divBdr>
    </w:div>
    <w:div w:id="182406821">
      <w:bodyDiv w:val="1"/>
      <w:marLeft w:val="0"/>
      <w:marRight w:val="0"/>
      <w:marTop w:val="0"/>
      <w:marBottom w:val="0"/>
      <w:divBdr>
        <w:top w:val="none" w:sz="0" w:space="0" w:color="auto"/>
        <w:left w:val="none" w:sz="0" w:space="0" w:color="auto"/>
        <w:bottom w:val="none" w:sz="0" w:space="0" w:color="auto"/>
        <w:right w:val="none" w:sz="0" w:space="0" w:color="auto"/>
      </w:divBdr>
    </w:div>
    <w:div w:id="210502540">
      <w:bodyDiv w:val="1"/>
      <w:marLeft w:val="0"/>
      <w:marRight w:val="0"/>
      <w:marTop w:val="0"/>
      <w:marBottom w:val="0"/>
      <w:divBdr>
        <w:top w:val="none" w:sz="0" w:space="0" w:color="auto"/>
        <w:left w:val="none" w:sz="0" w:space="0" w:color="auto"/>
        <w:bottom w:val="none" w:sz="0" w:space="0" w:color="auto"/>
        <w:right w:val="none" w:sz="0" w:space="0" w:color="auto"/>
      </w:divBdr>
    </w:div>
    <w:div w:id="303239665">
      <w:bodyDiv w:val="1"/>
      <w:marLeft w:val="0"/>
      <w:marRight w:val="0"/>
      <w:marTop w:val="0"/>
      <w:marBottom w:val="0"/>
      <w:divBdr>
        <w:top w:val="none" w:sz="0" w:space="0" w:color="auto"/>
        <w:left w:val="none" w:sz="0" w:space="0" w:color="auto"/>
        <w:bottom w:val="none" w:sz="0" w:space="0" w:color="auto"/>
        <w:right w:val="none" w:sz="0" w:space="0" w:color="auto"/>
      </w:divBdr>
    </w:div>
    <w:div w:id="370691156">
      <w:bodyDiv w:val="1"/>
      <w:marLeft w:val="0"/>
      <w:marRight w:val="0"/>
      <w:marTop w:val="0"/>
      <w:marBottom w:val="0"/>
      <w:divBdr>
        <w:top w:val="none" w:sz="0" w:space="0" w:color="auto"/>
        <w:left w:val="none" w:sz="0" w:space="0" w:color="auto"/>
        <w:bottom w:val="none" w:sz="0" w:space="0" w:color="auto"/>
        <w:right w:val="none" w:sz="0" w:space="0" w:color="auto"/>
      </w:divBdr>
    </w:div>
    <w:div w:id="384254037">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10856926">
      <w:bodyDiv w:val="1"/>
      <w:marLeft w:val="0"/>
      <w:marRight w:val="0"/>
      <w:marTop w:val="0"/>
      <w:marBottom w:val="0"/>
      <w:divBdr>
        <w:top w:val="none" w:sz="0" w:space="0" w:color="auto"/>
        <w:left w:val="none" w:sz="0" w:space="0" w:color="auto"/>
        <w:bottom w:val="none" w:sz="0" w:space="0" w:color="auto"/>
        <w:right w:val="none" w:sz="0" w:space="0" w:color="auto"/>
      </w:divBdr>
    </w:div>
    <w:div w:id="411515810">
      <w:bodyDiv w:val="1"/>
      <w:marLeft w:val="0"/>
      <w:marRight w:val="0"/>
      <w:marTop w:val="0"/>
      <w:marBottom w:val="0"/>
      <w:divBdr>
        <w:top w:val="none" w:sz="0" w:space="0" w:color="auto"/>
        <w:left w:val="none" w:sz="0" w:space="0" w:color="auto"/>
        <w:bottom w:val="none" w:sz="0" w:space="0" w:color="auto"/>
        <w:right w:val="none" w:sz="0" w:space="0" w:color="auto"/>
      </w:divBdr>
    </w:div>
    <w:div w:id="414934808">
      <w:bodyDiv w:val="1"/>
      <w:marLeft w:val="0"/>
      <w:marRight w:val="0"/>
      <w:marTop w:val="0"/>
      <w:marBottom w:val="0"/>
      <w:divBdr>
        <w:top w:val="none" w:sz="0" w:space="0" w:color="auto"/>
        <w:left w:val="none" w:sz="0" w:space="0" w:color="auto"/>
        <w:bottom w:val="none" w:sz="0" w:space="0" w:color="auto"/>
        <w:right w:val="none" w:sz="0" w:space="0" w:color="auto"/>
      </w:divBdr>
    </w:div>
    <w:div w:id="486438997">
      <w:bodyDiv w:val="1"/>
      <w:marLeft w:val="0"/>
      <w:marRight w:val="0"/>
      <w:marTop w:val="0"/>
      <w:marBottom w:val="0"/>
      <w:divBdr>
        <w:top w:val="none" w:sz="0" w:space="0" w:color="auto"/>
        <w:left w:val="none" w:sz="0" w:space="0" w:color="auto"/>
        <w:bottom w:val="none" w:sz="0" w:space="0" w:color="auto"/>
        <w:right w:val="none" w:sz="0" w:space="0" w:color="auto"/>
      </w:divBdr>
    </w:div>
    <w:div w:id="603610829">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12266990">
      <w:bodyDiv w:val="1"/>
      <w:marLeft w:val="0"/>
      <w:marRight w:val="0"/>
      <w:marTop w:val="0"/>
      <w:marBottom w:val="0"/>
      <w:divBdr>
        <w:top w:val="none" w:sz="0" w:space="0" w:color="auto"/>
        <w:left w:val="none" w:sz="0" w:space="0" w:color="auto"/>
        <w:bottom w:val="none" w:sz="0" w:space="0" w:color="auto"/>
        <w:right w:val="none" w:sz="0" w:space="0" w:color="auto"/>
      </w:divBdr>
    </w:div>
    <w:div w:id="722103201">
      <w:bodyDiv w:val="1"/>
      <w:marLeft w:val="0"/>
      <w:marRight w:val="0"/>
      <w:marTop w:val="0"/>
      <w:marBottom w:val="0"/>
      <w:divBdr>
        <w:top w:val="none" w:sz="0" w:space="0" w:color="auto"/>
        <w:left w:val="none" w:sz="0" w:space="0" w:color="auto"/>
        <w:bottom w:val="none" w:sz="0" w:space="0" w:color="auto"/>
        <w:right w:val="none" w:sz="0" w:space="0" w:color="auto"/>
      </w:divBdr>
    </w:div>
    <w:div w:id="755512557">
      <w:bodyDiv w:val="1"/>
      <w:marLeft w:val="0"/>
      <w:marRight w:val="0"/>
      <w:marTop w:val="0"/>
      <w:marBottom w:val="0"/>
      <w:divBdr>
        <w:top w:val="none" w:sz="0" w:space="0" w:color="auto"/>
        <w:left w:val="none" w:sz="0" w:space="0" w:color="auto"/>
        <w:bottom w:val="none" w:sz="0" w:space="0" w:color="auto"/>
        <w:right w:val="none" w:sz="0" w:space="0" w:color="auto"/>
      </w:divBdr>
    </w:div>
    <w:div w:id="760494412">
      <w:bodyDiv w:val="1"/>
      <w:marLeft w:val="0"/>
      <w:marRight w:val="0"/>
      <w:marTop w:val="0"/>
      <w:marBottom w:val="0"/>
      <w:divBdr>
        <w:top w:val="none" w:sz="0" w:space="0" w:color="auto"/>
        <w:left w:val="none" w:sz="0" w:space="0" w:color="auto"/>
        <w:bottom w:val="none" w:sz="0" w:space="0" w:color="auto"/>
        <w:right w:val="none" w:sz="0" w:space="0" w:color="auto"/>
      </w:divBdr>
    </w:div>
    <w:div w:id="815728620">
      <w:bodyDiv w:val="1"/>
      <w:marLeft w:val="0"/>
      <w:marRight w:val="0"/>
      <w:marTop w:val="0"/>
      <w:marBottom w:val="0"/>
      <w:divBdr>
        <w:top w:val="none" w:sz="0" w:space="0" w:color="auto"/>
        <w:left w:val="none" w:sz="0" w:space="0" w:color="auto"/>
        <w:bottom w:val="none" w:sz="0" w:space="0" w:color="auto"/>
        <w:right w:val="none" w:sz="0" w:space="0" w:color="auto"/>
      </w:divBdr>
    </w:div>
    <w:div w:id="1031801024">
      <w:bodyDiv w:val="1"/>
      <w:marLeft w:val="0"/>
      <w:marRight w:val="0"/>
      <w:marTop w:val="0"/>
      <w:marBottom w:val="0"/>
      <w:divBdr>
        <w:top w:val="none" w:sz="0" w:space="0" w:color="auto"/>
        <w:left w:val="none" w:sz="0" w:space="0" w:color="auto"/>
        <w:bottom w:val="none" w:sz="0" w:space="0" w:color="auto"/>
        <w:right w:val="none" w:sz="0" w:space="0" w:color="auto"/>
      </w:divBdr>
    </w:div>
    <w:div w:id="1057439852">
      <w:bodyDiv w:val="1"/>
      <w:marLeft w:val="0"/>
      <w:marRight w:val="0"/>
      <w:marTop w:val="0"/>
      <w:marBottom w:val="0"/>
      <w:divBdr>
        <w:top w:val="none" w:sz="0" w:space="0" w:color="auto"/>
        <w:left w:val="none" w:sz="0" w:space="0" w:color="auto"/>
        <w:bottom w:val="none" w:sz="0" w:space="0" w:color="auto"/>
        <w:right w:val="none" w:sz="0" w:space="0" w:color="auto"/>
      </w:divBdr>
    </w:div>
    <w:div w:id="1143155425">
      <w:bodyDiv w:val="1"/>
      <w:marLeft w:val="0"/>
      <w:marRight w:val="0"/>
      <w:marTop w:val="0"/>
      <w:marBottom w:val="0"/>
      <w:divBdr>
        <w:top w:val="none" w:sz="0" w:space="0" w:color="auto"/>
        <w:left w:val="none" w:sz="0" w:space="0" w:color="auto"/>
        <w:bottom w:val="none" w:sz="0" w:space="0" w:color="auto"/>
        <w:right w:val="none" w:sz="0" w:space="0" w:color="auto"/>
      </w:divBdr>
    </w:div>
    <w:div w:id="1310089817">
      <w:bodyDiv w:val="1"/>
      <w:marLeft w:val="0"/>
      <w:marRight w:val="0"/>
      <w:marTop w:val="0"/>
      <w:marBottom w:val="0"/>
      <w:divBdr>
        <w:top w:val="none" w:sz="0" w:space="0" w:color="auto"/>
        <w:left w:val="none" w:sz="0" w:space="0" w:color="auto"/>
        <w:bottom w:val="none" w:sz="0" w:space="0" w:color="auto"/>
        <w:right w:val="none" w:sz="0" w:space="0" w:color="auto"/>
      </w:divBdr>
    </w:div>
    <w:div w:id="1404838510">
      <w:bodyDiv w:val="1"/>
      <w:marLeft w:val="0"/>
      <w:marRight w:val="0"/>
      <w:marTop w:val="0"/>
      <w:marBottom w:val="0"/>
      <w:divBdr>
        <w:top w:val="none" w:sz="0" w:space="0" w:color="auto"/>
        <w:left w:val="none" w:sz="0" w:space="0" w:color="auto"/>
        <w:bottom w:val="none" w:sz="0" w:space="0" w:color="auto"/>
        <w:right w:val="none" w:sz="0" w:space="0" w:color="auto"/>
      </w:divBdr>
    </w:div>
    <w:div w:id="1582324613">
      <w:bodyDiv w:val="1"/>
      <w:marLeft w:val="0"/>
      <w:marRight w:val="0"/>
      <w:marTop w:val="0"/>
      <w:marBottom w:val="0"/>
      <w:divBdr>
        <w:top w:val="none" w:sz="0" w:space="0" w:color="auto"/>
        <w:left w:val="none" w:sz="0" w:space="0" w:color="auto"/>
        <w:bottom w:val="none" w:sz="0" w:space="0" w:color="auto"/>
        <w:right w:val="none" w:sz="0" w:space="0" w:color="auto"/>
      </w:divBdr>
    </w:div>
    <w:div w:id="1609893458">
      <w:bodyDiv w:val="1"/>
      <w:marLeft w:val="0"/>
      <w:marRight w:val="0"/>
      <w:marTop w:val="0"/>
      <w:marBottom w:val="0"/>
      <w:divBdr>
        <w:top w:val="none" w:sz="0" w:space="0" w:color="auto"/>
        <w:left w:val="none" w:sz="0" w:space="0" w:color="auto"/>
        <w:bottom w:val="none" w:sz="0" w:space="0" w:color="auto"/>
        <w:right w:val="none" w:sz="0" w:space="0" w:color="auto"/>
      </w:divBdr>
      <w:divsChild>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31767798">
      <w:bodyDiv w:val="1"/>
      <w:marLeft w:val="0"/>
      <w:marRight w:val="0"/>
      <w:marTop w:val="0"/>
      <w:marBottom w:val="0"/>
      <w:divBdr>
        <w:top w:val="none" w:sz="0" w:space="0" w:color="auto"/>
        <w:left w:val="none" w:sz="0" w:space="0" w:color="auto"/>
        <w:bottom w:val="none" w:sz="0" w:space="0" w:color="auto"/>
        <w:right w:val="none" w:sz="0" w:space="0" w:color="auto"/>
      </w:divBdr>
    </w:div>
    <w:div w:id="1932740499">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20499046">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53574332">
      <w:bodyDiv w:val="1"/>
      <w:marLeft w:val="0"/>
      <w:marRight w:val="0"/>
      <w:marTop w:val="0"/>
      <w:marBottom w:val="0"/>
      <w:divBdr>
        <w:top w:val="none" w:sz="0" w:space="0" w:color="auto"/>
        <w:left w:val="none" w:sz="0" w:space="0" w:color="auto"/>
        <w:bottom w:val="none" w:sz="0" w:space="0" w:color="auto"/>
        <w:right w:val="none" w:sz="0" w:space="0" w:color="auto"/>
      </w:divBdr>
    </w:div>
    <w:div w:id="213073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www.foodstandards.gov.au/science/expertise/Pages/Scientific-advisory-groups-.aspx" TargetMode="Externa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yperlink" Target="http://www.fao.org/docrep/pdf/011/a1554e/a1554e00.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s://www.foodstandards.gov.au/code/applications/Documents/Application%20Handbook%20as%20at%201%20July%202019.pdf" TargetMode="External"/><Relationship Id="rId33" Type="http://schemas.openxmlformats.org/officeDocument/2006/relationships/hyperlink" Target="https://comcom.govt.nz/about-us/our-policies-and-guidelines/investigations-and-enforcement/enforcement-criteri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hyperlink" Target="https://www.reddit.com/r/vegan/comments/8l4357/impossible_burger_making_me_sic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oodstandards.gov.au/code/applications/Documents/Application%20Handbook%20as%20at%201%20July%202019.pdf" TargetMode="External"/><Relationship Id="rId32" Type="http://schemas.openxmlformats.org/officeDocument/2006/relationships/hyperlink" Target="https://www.accc.gov.au/about-us/australian-competition-consumer-commission/compliance-enforcement-policy-priorities" TargetMode="External"/><Relationship Id="rId37"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s://www.foodstandards.gov.au/code/applications/Pages/A1186.aspx" TargetMode="External"/><Relationship Id="rId28" Type="http://schemas.openxmlformats.org/officeDocument/2006/relationships/hyperlink" Target="http://sitn.hms.harvard.edu/flash/2015/will-gmos-hurt-my-body/" TargetMode="External"/><Relationship Id="rId36" Type="http://schemas.openxmlformats.org/officeDocument/2006/relationships/hyperlink" Target="https://meat.tamu.edu/ansc-307-honors/meat-color/"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yperlink" Target="https://foodregulation.gov.au/internet/fr/publishing.nsf/Content/review-food-labelling" TargetMode="External"/><Relationship Id="rId35" Type="http://schemas.openxmlformats.org/officeDocument/2006/relationships/hyperlink" Target="https://www.who.int/publications/i/item/principles-and-methods-for-the-risk-assessment-of-chemicals-in-food"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s://www.foodstandards.gov.au/consumer/gmfood/adverse/Pages/default.aspx" TargetMode="External"/><Relationship Id="rId30" Type="http://schemas.openxmlformats.org/officeDocument/2006/relationships/hyperlink" Target="https://iwaspoisoned.com/"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ipaustralia.gov.au/" TargetMode="External"/><Relationship Id="rId7" Type="http://schemas.openxmlformats.org/officeDocument/2006/relationships/hyperlink" Target="https://foodregulation.gov.au/internet/fr/publishing.nsf/Content/818671E42DDCF1F6CA2584B300120830/$File/Forum-Communiqu%C3%A9-15%20November%202019.pdf" TargetMode="External"/><Relationship Id="rId2" Type="http://schemas.openxmlformats.org/officeDocument/2006/relationships/hyperlink" Target="https://www.iponz.govt.nz/manage-ip" TargetMode="External"/><Relationship Id="rId1" Type="http://schemas.openxmlformats.org/officeDocument/2006/relationships/hyperlink" Target="https://foodregulation.gov.au/internet/fr/publishing.nsf/Content/publication-Policy-Guideline-for-the-Fortification-of-Foods-with-Vitamins-and-Minerals" TargetMode="External"/><Relationship Id="rId6" Type="http://schemas.openxmlformats.org/officeDocument/2006/relationships/hyperlink" Target="https://foodregulation.gov.au/internet/fr/publishing.nsf/Content/publication-Policy-Guideline-for-the-Fortification-of-Foods-with-Vitamins-and-Minerals" TargetMode="External"/><Relationship Id="rId5" Type="http://schemas.openxmlformats.org/officeDocument/2006/relationships/hyperlink" Target="http://www.foodstandards.gov.au/consumer/gmfood/adverse/Pages/default.aspx" TargetMode="External"/><Relationship Id="rId4" Type="http://schemas.openxmlformats.org/officeDocument/2006/relationships/hyperlink" Target="https://registerofquestions.efsa.europa.eu/roqFrontend/ListOfQuestionsNoLogin?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3B352-89AE-4467-B79F-9C7C6B761C09}"/>
</file>

<file path=customXml/itemProps2.xml><?xml version="1.0" encoding="utf-8"?>
<ds:datastoreItem xmlns:ds="http://schemas.openxmlformats.org/officeDocument/2006/customXml" ds:itemID="{9A08CF5D-9004-411B-AD00-C56B3D634596}"/>
</file>

<file path=customXml/itemProps3.xml><?xml version="1.0" encoding="utf-8"?>
<ds:datastoreItem xmlns:ds="http://schemas.openxmlformats.org/officeDocument/2006/customXml" ds:itemID="{494CFE2C-DE65-4EA3-B8A4-6D87779EA2E9}">
  <ds:schemaRefs>
    <ds:schemaRef ds:uri="http://schemas.microsoft.com/sharepoint/events"/>
  </ds:schemaRefs>
</ds:datastoreItem>
</file>

<file path=customXml/itemProps4.xml><?xml version="1.0" encoding="utf-8"?>
<ds:datastoreItem xmlns:ds="http://schemas.openxmlformats.org/officeDocument/2006/customXml" ds:itemID="{A8878CBE-97D8-469C-B702-7ACF348EC2C1}">
  <ds:schemaRefs>
    <ds:schemaRef ds:uri="Microsoft.SharePoint.Taxonomy.ContentTypeSync"/>
  </ds:schemaRefs>
</ds:datastoreItem>
</file>

<file path=customXml/itemProps5.xml><?xml version="1.0" encoding="utf-8"?>
<ds:datastoreItem xmlns:ds="http://schemas.openxmlformats.org/officeDocument/2006/customXml" ds:itemID="{10349BCC-CF2D-4D5F-A0B6-9BEDE4B0BE47}"/>
</file>

<file path=customXml/itemProps6.xml><?xml version="1.0" encoding="utf-8"?>
<ds:datastoreItem xmlns:ds="http://schemas.openxmlformats.org/officeDocument/2006/customXml" ds:itemID="{70A97DA0-14F6-4BC4-8489-077ACD1704D6}"/>
</file>

<file path=customXml/itemProps7.xml><?xml version="1.0" encoding="utf-8"?>
<ds:datastoreItem xmlns:ds="http://schemas.openxmlformats.org/officeDocument/2006/customXml" ds:itemID="{C8F92454-BDB8-45A0-9337-5EBDF6F3D162}"/>
</file>

<file path=docProps/app.xml><?xml version="1.0" encoding="utf-8"?>
<Properties xmlns="http://schemas.openxmlformats.org/officeDocument/2006/extended-properties" xmlns:vt="http://schemas.openxmlformats.org/officeDocument/2006/docPropsVTypes">
  <Template>Report - Call for submissions, assessment summary</Template>
  <TotalTime>0</TotalTime>
  <Pages>55</Pages>
  <Words>20301</Words>
  <Characters>115717</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135747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RyrieH</dc:creator>
  <cp:keywords/>
  <dc:description/>
  <cp:lastModifiedBy>Joanna Richards</cp:lastModifiedBy>
  <cp:revision>2</cp:revision>
  <cp:lastPrinted>2012-03-26T22:36:00Z</cp:lastPrinted>
  <dcterms:created xsi:type="dcterms:W3CDTF">2020-08-05T11:19:00Z</dcterms:created>
  <dcterms:modified xsi:type="dcterms:W3CDTF">2020-08-05T11:19:00Z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f62830dd-e76c-40d1-9884-d42008a387c6</vt:lpwstr>
  </property>
  <property fmtid="{D5CDD505-2E9C-101B-9397-08002B2CF9AE}" pid="8" name="RecordPoint_WorkflowType">
    <vt:lpwstr>ActiveSubmitStub</vt:lpwstr>
  </property>
  <property fmtid="{D5CDD505-2E9C-101B-9397-08002B2CF9AE}" pid="9" name="RecordPoint_ActiveItemUniqueId">
    <vt:lpwstr>{f62830dd-e76c-40d1-9884-d42008a387c6}</vt:lpwstr>
  </property>
  <property fmtid="{D5CDD505-2E9C-101B-9397-08002B2CF9AE}" pid="10" name="RecordPoint_ActiveItemWebId">
    <vt:lpwstr>{1d17a741-0649-4855-a4fa-a8a5c8a24df0}</vt:lpwstr>
  </property>
  <property fmtid="{D5CDD505-2E9C-101B-9397-08002B2CF9AE}" pid="11" name="RecordPoint_ActiveItemSiteId">
    <vt:lpwstr>{dd95a578-5c6a-4f11-92f7-f95884d628d6}</vt:lpwstr>
  </property>
  <property fmtid="{D5CDD505-2E9C-101B-9397-08002B2CF9AE}" pid="12" name="RecordPoint_ActiveItemListId">
    <vt:lpwstr>{df0b5e9c-ea3e-4ca5-a01f-f55c88d8bba4}</vt:lpwstr>
  </property>
  <property fmtid="{D5CDD505-2E9C-101B-9397-08002B2CF9AE}" pid="13" name="RecordPoint_RecordNumberSubmitted">
    <vt:lpwstr>R0000124575</vt:lpwstr>
  </property>
  <property fmtid="{D5CDD505-2E9C-101B-9397-08002B2CF9AE}" pid="14" name="RecordPoint_SubmissionCompleted">
    <vt:lpwstr>2020-08-03T16:25:03.7648726+10:00</vt:lpwstr>
  </property>
  <property fmtid="{D5CDD505-2E9C-101B-9397-08002B2CF9AE}" pid="15" name="docIndexRef">
    <vt:lpwstr>b5711e28-8fb3-4da8-a425-7d7fc7643673</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